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F" w:rsidRPr="002F6BC6" w:rsidRDefault="002F6BC6" w:rsidP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0" w:lineRule="auto"/>
        <w:ind w:left="10" w:right="-2" w:firstLine="5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МОЗ розпочав проведення розширеного </w:t>
      </w:r>
      <w:proofErr w:type="spellStart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новонароджених на 21 рідкісне захворювання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6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17 жовтня цього року в Україні розпочато проведення розширеного 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21 рідкісне захворювання. Це комплексне обстеження  новонароджених для виявлення спадкових і вроджених захворювань.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8" w:lineRule="auto"/>
        <w:ind w:left="3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Пілотний запуск стартував у 12 регіонах України: м. Києві, Вінницькій,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Волинській, Житомирській, Закарпатській, Івано-Франківській, Київській,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Львівській, Рівненській, Тернопільській, Хмельницькій та Чернівецькій областях.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8" w:line="229" w:lineRule="auto"/>
        <w:ind w:left="3"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Лабораторні дослідження за пр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ограмою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відповідно до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переліку захворювань, визначених </w:t>
      </w:r>
      <w:r w:rsidRPr="002F6BC6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uk-UA"/>
        </w:rPr>
        <w:t>наказом МОЗ від 01 жовтня 2021 року № 2142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здійснюються на базі експертного та двох регіональних центрів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– Національної дитячої спеціалізованої лікар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ні «Охматдит», Львівського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обласного клінічного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перинатального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центру.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9" w:lineRule="auto"/>
        <w:ind w:left="3" w:right="-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Попередньо в Україні усі новонароджені безоплатно перевірялися на 4 спадкові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хвороби – гіпотиреоз,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фенілкетонурія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,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адреногенітальний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синдром,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муковісцидоз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.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 жовтня діагностику розш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ирено до можливості виявлення 21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орфанного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захворювання. 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" w:right="-6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Так, минулого року Президент України підписав Закон, яким було збільшено  видатки для Міністерства охорони здоров'я на розвиток системи розширеного 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300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 Ці кошти були спрямовані на оснащення  лабораторним обладнанням екс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пертного та регіональних центрів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7" w:firstLine="5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Також для запуску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було ухвалено необхідні нормативно-правові акти,  закуплено комп’ютерне обладнання та програмне забезпечення, розроблено новий  функціонал в електронній системі охорони з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доров’я, забезпечено навчання медичних  працівників, проведено закупівлі реагентів та логістичних рішень, нових тест-бланків  для забору крові, закладено фінансування на послуги з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 рамках окремого пакету програми медичних гарантій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D0544F" w:rsidRPr="002F6BC6" w:rsidRDefault="002F6BC6" w:rsidP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" w:right="-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Послуга як і раніше безоплатна та доступна в пологових стаціонарах, 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перинатальних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центрах та дитячих лікарнях з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неонатологічними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відділеннями. Забір крові проводять у перші 48 – 72 години життя немовляти та передають на  дослідження до лабораторного центр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у. У разі, якщо виявлено відхилення від  нормальних показників, батьків поінформують про загрозу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здоровʼю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для  подальших досліджень чи призначення лікування експертами медико-генетичного  центру. </w:t>
      </w:r>
    </w:p>
    <w:p w:rsidR="00D0544F" w:rsidRPr="002F6BC6" w:rsidRDefault="002F6BC6" w:rsidP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отримання послуги батькам новонародженого необхідно лише надати  письмову згоду на проведення дослідження. Далі лікар сформує пакет документів для  відправки в лабораторію. Після проведення дослідження, лабораторія за необхідності  спрямує результати д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медико-генетичного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тру. Своєю чергою, лікар медико-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генетичного центру проаналізує дослідження та за його результатами визначить  необхідність подальших досліджень чи призначить лікування.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29" w:lineRule="auto"/>
        <w:ind w:left="3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Таким чином, завчасне виявлення дозволить ще на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доклінічній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стадії  захворювання застосувати протокольну терапію та корекцію, тим самим повністю  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запобігти прояву симптомів або значно полегшити їх. Запобігання розвитку  захворювання забезпечить дитині повн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оцінне життя.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" w:right="-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Увесь процес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супроводжується та фіксується в  електронній системі охорони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здоровʼя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від реєстрації новонародженого та взяття  зразків крові лікарем до обробки направлення лаборантом та фіксування  діагностичного звіту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результатами досліджень.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7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Розширення програми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неонатального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скринінгу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цифровізація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процесів  дозволять своєчасно виявити ризики </w:t>
      </w:r>
      <w:proofErr w:type="spellStart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орфанних</w:t>
      </w:r>
      <w:proofErr w:type="spellEnd"/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захворювань у немовляти та  якнайшвидше запобігти їх клінічним проявам. Адже своєчасно виявлене та вчасно  розпо</w:t>
      </w:r>
      <w:r w:rsidRPr="002F6B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чате лікування дозволяє запобігти розвитку хвороби та створює умови для  тривалого і повноцінного життя пацієнтів.  </w:t>
      </w:r>
    </w:p>
    <w:p w:rsidR="00D0544F" w:rsidRPr="002F6BC6" w:rsidRDefault="002F6B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right="6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Пресслужба</w:t>
      </w:r>
      <w:proofErr w:type="spellEnd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Міністерства охорони </w:t>
      </w:r>
      <w:proofErr w:type="spellStart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здоровʼя</w:t>
      </w:r>
      <w:proofErr w:type="spellEnd"/>
      <w:r w:rsidRPr="002F6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України</w:t>
      </w:r>
    </w:p>
    <w:sectPr w:rsidR="00D0544F" w:rsidRPr="002F6BC6" w:rsidSect="00D0544F">
      <w:pgSz w:w="11900" w:h="16820"/>
      <w:pgMar w:top="705" w:right="642" w:bottom="1713" w:left="99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44F"/>
    <w:rsid w:val="002F6BC6"/>
    <w:rsid w:val="00D0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054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54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54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54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054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054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544F"/>
  </w:style>
  <w:style w:type="table" w:customStyle="1" w:styleId="TableNormal">
    <w:name w:val="Table Normal"/>
    <w:rsid w:val="00D054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54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054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2022-11-03T09:22:00Z</dcterms:created>
  <dcterms:modified xsi:type="dcterms:W3CDTF">2022-11-03T09:25:00Z</dcterms:modified>
</cp:coreProperties>
</file>