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751CE" w:rsidRPr="00F751CE" w:rsidRDefault="00CC1167" w:rsidP="00F751CE">
      <w:pPr>
        <w:pStyle w:val="1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>
        <w:rPr>
          <w:color w:val="0E1D2F"/>
          <w:sz w:val="20"/>
          <w:szCs w:val="20"/>
        </w:rPr>
        <w:t>Предмет закупівлі</w:t>
      </w:r>
      <w:r w:rsidR="00F751CE">
        <w:rPr>
          <w:color w:val="0E1D2F"/>
          <w:sz w:val="20"/>
          <w:szCs w:val="20"/>
        </w:rPr>
        <w:t xml:space="preserve"> </w:t>
      </w:r>
      <w:proofErr w:type="spellStart"/>
      <w:r w:rsidR="00F751CE" w:rsidRPr="00F751CE">
        <w:rPr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 w:rsidR="00F751CE" w:rsidRPr="00F751CE">
        <w:rPr>
          <w:color w:val="333333"/>
          <w:sz w:val="24"/>
          <w:szCs w:val="24"/>
          <w:bdr w:val="none" w:sz="0" w:space="0" w:color="auto" w:frame="1"/>
        </w:rPr>
        <w:t xml:space="preserve"> 021:2015 код 33190000-8 Медичне обладнання та вироби медичного призначення різні</w:t>
      </w:r>
    </w:p>
    <w:p w:rsidR="00CC1167" w:rsidRDefault="00CC1167" w:rsidP="00CC1167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CC1167" w:rsidRDefault="00CC1167" w:rsidP="00CC1167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заклад медичними матеріалами  , для виконання своїх  функцій, що можуть знадобитися у процесі надання допомоги пацієнтам </w:t>
      </w:r>
    </w:p>
    <w:tbl>
      <w:tblPr>
        <w:tblW w:w="10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971"/>
        <w:gridCol w:w="1767"/>
        <w:gridCol w:w="977"/>
        <w:gridCol w:w="5494"/>
      </w:tblGrid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hAnsi="Times New Roman" w:cs="Times New Roman"/>
                <w:b/>
              </w:rPr>
              <w:t>Код НК 024:2019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Кіл-ть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МТВ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</w:pPr>
          </w:p>
          <w:p w:rsidR="00CC1167" w:rsidRDefault="00CC1167" w:rsidP="00F924E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43865 Вакуумна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для взяття зразків крові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К3 ЕДТА 2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Внутрішня частина стінки пробірки покрита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двокалієвим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(K2EDTA) або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трикалієвим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(K3EDTA) EDTA. EDTA зв'язує іони кальцію, блокуючи таким чином каскад коагуляції. Пробірки EDTA використовуються для тестування параметрів в гематології.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 xml:space="preserve">: </w:t>
            </w:r>
            <w:r w:rsidRPr="001D1AE9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58140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> </w:t>
            </w:r>
            <w:r w:rsidRPr="001D1AE9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для збору зразків крові не вакуумна ІВД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Пробірка біохімічна 14*100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Усі пробірки для сироватки містять активатор згортання крові, який прискорює процес згортання. Пробірки для сироватки крові використовуються для тестування параметрів у клінічній хімії.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601" w:type="dxa"/>
          </w:tcPr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:43761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 xml:space="preserve">Пробірка </w:t>
            </w:r>
            <w:proofErr w:type="spellStart"/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центрифужна</w:t>
            </w:r>
            <w:proofErr w:type="spellEnd"/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, нестерильна, IVD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центрафужна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немірна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Пробірки рекомендується центрифугувати при 3 000g (мінімум 1 600g, максимум 5 000g) протягом 10 хвилин в охолодженій центрифузі. Центрифугування слід проводити при температурі 15°C-24°C (25°C / 77°F). Більш високі температури можуть мати негативний вплив.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Наконечники «MEDRYNOK» 200мкл.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widowControl w:val="0"/>
              <w:autoSpaceDE w:val="0"/>
              <w:autoSpaceDN w:val="0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r w:rsidRPr="001D1A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виробу: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36" w:after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являють собою конічні трубочки різного об’єму. Виготовлені з поліпропілену.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дозаторами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дозування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об'ємів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0,5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-1000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10" w:after="1" w:line="240" w:lineRule="auto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6"/>
              <w:gridCol w:w="1255"/>
              <w:gridCol w:w="870"/>
              <w:gridCol w:w="1297"/>
            </w:tblGrid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jc w:val="center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Колір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Об’єм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Упаковка</w:t>
                  </w:r>
                </w:p>
              </w:tc>
            </w:tr>
            <w:tr w:rsidR="00CC1167" w:rsidRPr="001D1AE9" w:rsidTr="00F924E6">
              <w:trPr>
                <w:trHeight w:val="72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, градуйовані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» тип Універсальний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lastRenderedPageBreak/>
                    <w:t>блакитний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1000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500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</w:tbl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44" w:after="0" w:line="240" w:lineRule="auto"/>
              <w:ind w:left="1017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5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Наконечники «MEDRYNOK» 1000мкл.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36" w:after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являють собою конічні трубочки різного об’єму. Виготовлені з поліпропілену.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дозаторами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дозування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об'ємів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0,5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-1000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10" w:after="1" w:line="240" w:lineRule="auto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6"/>
              <w:gridCol w:w="1255"/>
              <w:gridCol w:w="870"/>
              <w:gridCol w:w="1297"/>
            </w:tblGrid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jc w:val="center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Колір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Об’єм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Упаковка</w:t>
                  </w:r>
                </w:p>
              </w:tc>
            </w:tr>
            <w:tr w:rsidR="00CC1167" w:rsidRPr="001D1AE9" w:rsidTr="00F924E6">
              <w:trPr>
                <w:trHeight w:val="72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, градуйовані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» тип Універсальний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блакитний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1000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500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</w:tbl>
          <w:p w:rsidR="00CC1167" w:rsidRPr="001D1AE9" w:rsidRDefault="00CC1167" w:rsidP="00F924E6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44" w:after="0" w:line="240" w:lineRule="auto"/>
              <w:ind w:left="1017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42585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 вакуумна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взяття зразків крові,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цитратом натрію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вакумна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3,6 (3,8%) цитрат натрію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</w:t>
            </w:r>
          </w:p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Вакуумні пробірки  одноразового використання є пластмасовими пробірками з попередньо визначеною кількістю вакууму для забору крові точного об’єму. Вони оснащені кришечками з кольоровим кодуванням.</w:t>
            </w:r>
          </w:p>
          <w:p w:rsidR="00CC1167" w:rsidRPr="001D1AE9" w:rsidRDefault="00CC1167" w:rsidP="00F924E6">
            <w:pPr>
              <w:spacing w:after="0" w:line="1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67" w:rsidRPr="001D1AE9" w:rsidRDefault="00CC1167" w:rsidP="00F924E6">
            <w:pPr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muxgbd"/>
                <w:rFonts w:ascii="Times New Roman" w:hAnsi="Times New Roman" w:cs="Times New Roman"/>
                <w:color w:val="70757A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42386 —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 вакуумна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взяття зразків крові,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активатором згортання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IVD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вакумна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активатором згортання 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D3AA0">
              <w:rPr>
                <w:rFonts w:ascii="Times New Roman" w:hAnsi="Times New Roman" w:cs="Times New Roman"/>
              </w:rPr>
              <w:t>Вакуумна пробірка повинна бути:</w:t>
            </w:r>
            <w:r w:rsidRPr="00FD3AA0">
              <w:rPr>
                <w:rFonts w:ascii="Times New Roman" w:hAnsi="Times New Roman" w:cs="Times New Roman"/>
              </w:rPr>
              <w:br/>
              <w:t xml:space="preserve"> - закритою, вакуумною для дозованого вакуумного взяття венозної крові</w:t>
            </w:r>
            <w:r w:rsidRPr="00FD3AA0">
              <w:rPr>
                <w:rFonts w:ascii="Times New Roman" w:hAnsi="Times New Roman" w:cs="Times New Roman"/>
              </w:rPr>
              <w:br/>
              <w:t xml:space="preserve"> - виготовлена з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поліетилентерефталат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(ПЕТ)</w:t>
            </w:r>
            <w:r w:rsidRPr="00FD3AA0">
              <w:rPr>
                <w:rFonts w:ascii="Times New Roman" w:hAnsi="Times New Roman" w:cs="Times New Roman"/>
              </w:rPr>
              <w:br/>
              <w:t xml:space="preserve"> - стерилізація гамма-випроміненням</w:t>
            </w:r>
            <w:r w:rsidRPr="00FD3AA0">
              <w:rPr>
                <w:rFonts w:ascii="Times New Roman" w:hAnsi="Times New Roman" w:cs="Times New Roman"/>
              </w:rPr>
              <w:br/>
              <w:t xml:space="preserve"> - мати наповнювач – оксид кремнію</w:t>
            </w:r>
            <w:r w:rsidRPr="00FD3AA0">
              <w:rPr>
                <w:rFonts w:ascii="Times New Roman" w:hAnsi="Times New Roman" w:cs="Times New Roman"/>
              </w:rPr>
              <w:br/>
              <w:t xml:space="preserve"> - об’єм взятої крові 5,0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мл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за рахунок дозованого вакууму;</w:t>
            </w:r>
            <w:r w:rsidRPr="00FD3AA0">
              <w:rPr>
                <w:rFonts w:ascii="Times New Roman" w:hAnsi="Times New Roman" w:cs="Times New Roman"/>
              </w:rPr>
              <w:br/>
              <w:t xml:space="preserve"> - мати кришку з гумовою пробкою, колір кришки – помаранчевий або червоний;</w:t>
            </w:r>
            <w:r w:rsidRPr="00FD3AA0">
              <w:rPr>
                <w:rFonts w:ascii="Times New Roman" w:hAnsi="Times New Roman" w:cs="Times New Roman"/>
              </w:rPr>
              <w:br/>
              <w:t xml:space="preserve"> - розмір пробірки 13х100 мм.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код 61032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Кювету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лабораторного аналізатора ІВД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Кювети 200/с/2202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Одноразові кювети використовуються для розміщення та перемішування клінічного зразка, реагенту або іншого матеріалу для процедур тестування, які виконуються за допомогою лабораторних аналізаторів. 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Кювети забезпечують високий рівень дослідження.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Кювети виготовлені з кристально-прозорого полістиролу, мають відмінну оптичну провідність і гарантують відмінну точність результату.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-43375 Піпетка з ручним заповненням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Капіляр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Панченкова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Капіляр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Панченкова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(скло)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43375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Піпетка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з ручним заповненням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Піпетка Пастера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Поліетилен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Мікробіологічний статус  Нестерильний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Об’єм   3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Колір, оптична якість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Нейтральний, прозорий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Температурний діапазон використання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 використовуватись при температурі від -40°С до +55°С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Термін придатності  5 років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Загальні характеристики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Фізіологічно нешкідливі, біологічно інертні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Лише для одноразового використання.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57900 Пробірка для збору зразків крові не вакуумна ІВД,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EDTA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Мікрокювети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 200  K3 EDTA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Опис продукту: Капілярні пробірки для забору крові - це пластикові,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невакуумовані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пробірки малого об'єму з попередньо визначеним номінальним об'ємом для досягнення правильних концентрацій добавок. Вони оснащені кольоровими гумовими ковпачками для капілярних пробірок для забору крові з поперечним розрізом. Пробірки, концентрації добавок та їх допустимі відхилення, а також співвідношення крові до добавок відповідають вимогам та рекомендаціям міжнародного стандарту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Clinical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Laboratory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Standards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Institute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Вибір добавки залежить від обраного аналітичного методу дослідження. Виробник тест-реагентів та/або приладу, на якому проводиться дослідження, вказує на це. Ланцети пропонуються з різною глибиною, в залежності від бажаного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кровотоку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віку і ваги пацієнта. 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Наконечники 20мкл.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3уп.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Наконечник об’ємом 20 мкл без фільтра, прозорий, з калібрувальними кільцями, сумісний з дозаторами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Gilson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Finnpipette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Brand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з дозаторами структурно ідентичної конструкції.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Довжина – не більше 46 мм.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Макс. об’єм - 20 мкл,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– поліпропілен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Автоклавування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(макс.°C)+121°C, температурні коливання +121°C до -60°C.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Стандарт чистоти – вільний від ДНК, без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ДНК-ази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/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РНКази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інгібіторів ПЛР.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Пакування: 1000 шт./ пак.</w:t>
            </w:r>
          </w:p>
        </w:tc>
      </w:tr>
      <w:tr w:rsidR="00CC1167" w:rsidRPr="001D1AE9" w:rsidTr="00F924E6">
        <w:trPr>
          <w:trHeight w:val="673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НК 024:2019 – 61033 Кювета для лабораторного аналізатора ІВД, багаторазового використання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піндорф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кришкою 1,5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призначені для зберігання, транспортування, а також центрифугування різних середовищ і біологічних матеріалів в малих об'ємах.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43761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центрифужна</w:t>
            </w:r>
            <w:proofErr w:type="spellEnd"/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, нестерильна, IVD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Епіндорф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штук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призначені для зберігання, транспортування, а також центрифугування різних середовищ і біологічних матеріалів в малих об'ємах.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D3AA0">
              <w:rPr>
                <w:rFonts w:ascii="Times New Roman" w:hAnsi="Times New Roman" w:cs="Times New Roman"/>
              </w:rPr>
              <w:t xml:space="preserve">Виготовлені з поліпропілену, мають напівпрозорий вигляд, призначені для зберігання, транспортування, а також центрифугування різних середовищ і біологічних матеріалів. Діапазон робочих температур від -15 ° С до + 120 ° С,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автоклавіруются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, мають високу хімічну стійкість до кислот, лугів, альдегідів,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алифатическим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спиртів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Наконечники з фільтром в штативі, 10 мкл, стерильні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Діапазон дозування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0.1-10 мкл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Принцип дозування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повітряне заміщення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первинний PP (поліпропілен)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Можливість використання з механічними дозаторами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Sartorius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Можливість використання з електронними дозаторами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Sartorius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Можливість використання з багатьма дозаторами інших виробників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Фільтр усередині наконечника для запобігання аерозольної й рідинної контамінації дозатора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фільтра PE поліетилен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Колір фільтра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білий</w:t>
            </w:r>
          </w:p>
        </w:tc>
      </w:tr>
    </w:tbl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F751CE" w:rsidRPr="00F751CE" w:rsidRDefault="00CC1167" w:rsidP="00F751CE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0"/>
          <w:szCs w:val="20"/>
        </w:rPr>
      </w:pPr>
      <w:r w:rsidRPr="00F751CE">
        <w:rPr>
          <w:b w:val="0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F751CE">
        <w:rPr>
          <w:b w:val="0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F751CE">
        <w:rPr>
          <w:b w:val="0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F751CE">
        <w:rPr>
          <w:b w:val="0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F751CE">
        <w:rPr>
          <w:b w:val="0"/>
          <w:color w:val="333333"/>
          <w:sz w:val="20"/>
          <w:szCs w:val="20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="00F751CE" w:rsidRPr="00F751CE">
        <w:rPr>
          <w:b w:val="0"/>
          <w:color w:val="333333"/>
          <w:sz w:val="20"/>
          <w:szCs w:val="20"/>
          <w:bdr w:val="none" w:sz="0" w:space="0" w:color="auto" w:frame="1"/>
        </w:rPr>
        <w:t>ДК</w:t>
      </w:r>
      <w:proofErr w:type="spellEnd"/>
      <w:r w:rsidR="00F751CE" w:rsidRPr="00F751CE">
        <w:rPr>
          <w:b w:val="0"/>
          <w:color w:val="333333"/>
          <w:sz w:val="20"/>
          <w:szCs w:val="20"/>
          <w:bdr w:val="none" w:sz="0" w:space="0" w:color="auto" w:frame="1"/>
        </w:rPr>
        <w:t xml:space="preserve"> 021:2015 код 33190000-8 Медичне обладнання та вироби медичного призначення різні</w:t>
      </w:r>
    </w:p>
    <w:p w:rsidR="00CC1167" w:rsidRDefault="00CC1167" w:rsidP="00CC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</w:t>
      </w: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3F3415" w:rsidRDefault="003F3415"/>
    <w:sectPr w:rsidR="003F3415" w:rsidSect="003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167"/>
    <w:rsid w:val="00183CA7"/>
    <w:rsid w:val="003F3415"/>
    <w:rsid w:val="00CC1167"/>
    <w:rsid w:val="00F7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7"/>
  </w:style>
  <w:style w:type="paragraph" w:styleId="1">
    <w:name w:val="heading 1"/>
    <w:basedOn w:val="a"/>
    <w:link w:val="10"/>
    <w:uiPriority w:val="9"/>
    <w:qFormat/>
    <w:rsid w:val="00F7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6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1167"/>
    <w:rPr>
      <w:i/>
      <w:iCs/>
    </w:rPr>
  </w:style>
  <w:style w:type="character" w:customStyle="1" w:styleId="muxgbd">
    <w:name w:val="muxgbd"/>
    <w:basedOn w:val="a0"/>
    <w:rsid w:val="00CC1167"/>
  </w:style>
  <w:style w:type="character" w:customStyle="1" w:styleId="10">
    <w:name w:val="Заголовок 1 Знак"/>
    <w:basedOn w:val="a0"/>
    <w:link w:val="1"/>
    <w:uiPriority w:val="9"/>
    <w:rsid w:val="00F751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6140</Words>
  <Characters>3501</Characters>
  <Application>Microsoft Office Word</Application>
  <DocSecurity>0</DocSecurity>
  <Lines>29</Lines>
  <Paragraphs>19</Paragraphs>
  <ScaleCrop>false</ScaleCrop>
  <Company>HP Inc.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2023-02-23T10:29:00Z</dcterms:created>
  <dcterms:modified xsi:type="dcterms:W3CDTF">2023-08-16T09:37:00Z</dcterms:modified>
</cp:coreProperties>
</file>