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D6B" w:rsidRPr="002627DA" w:rsidRDefault="006B5D6B" w:rsidP="006B5D6B">
      <w:pPr>
        <w:shd w:val="clear" w:color="auto" w:fill="FFFFFF"/>
        <w:spacing w:before="100" w:beforeAutospacing="1" w:after="100" w:afterAutospacing="1" w:line="240" w:lineRule="auto"/>
        <w:rPr>
          <w:rFonts w:ascii="Times New Roman" w:eastAsia="Times New Roman" w:hAnsi="Times New Roman" w:cs="Times New Roman"/>
          <w:color w:val="0E1D2F"/>
          <w:sz w:val="20"/>
          <w:szCs w:val="20"/>
          <w:lang w:eastAsia="uk-UA"/>
        </w:rPr>
      </w:pPr>
      <w:r w:rsidRPr="002627DA">
        <w:rPr>
          <w:rFonts w:ascii="Times New Roman" w:eastAsia="Times New Roman" w:hAnsi="Times New Roman" w:cs="Times New Roman"/>
          <w:b/>
          <w:bCs/>
          <w:color w:val="0E1D2F"/>
          <w:sz w:val="20"/>
          <w:szCs w:val="20"/>
          <w:lang w:eastAsia="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6B5D6B" w:rsidRDefault="006B5D6B" w:rsidP="006B5D6B">
      <w:pPr>
        <w:jc w:val="center"/>
        <w:rPr>
          <w:rFonts w:ascii="Times New Roman" w:hAnsi="Times New Roman" w:cs="Times New Roman"/>
          <w:b/>
          <w:sz w:val="28"/>
          <w:szCs w:val="28"/>
        </w:rPr>
      </w:pPr>
      <w:r w:rsidRPr="002627DA">
        <w:rPr>
          <w:rFonts w:ascii="Times New Roman" w:eastAsia="Times New Roman" w:hAnsi="Times New Roman" w:cs="Times New Roman"/>
          <w:color w:val="0E1D2F"/>
          <w:sz w:val="20"/>
          <w:szCs w:val="20"/>
          <w:lang w:eastAsia="uk-UA"/>
        </w:rPr>
        <w:t>Предмет закупівлі</w:t>
      </w:r>
      <w:r w:rsidRPr="00C613BC">
        <w:rPr>
          <w:rFonts w:ascii="Times New Roman" w:eastAsia="Times New Roman" w:hAnsi="Times New Roman" w:cs="Times New Roman"/>
          <w:color w:val="0E1D2F"/>
          <w:sz w:val="20"/>
          <w:szCs w:val="20"/>
          <w:lang w:eastAsia="uk-UA"/>
        </w:rPr>
        <w:t xml:space="preserve">: </w:t>
      </w:r>
      <w:proofErr w:type="spellStart"/>
      <w:r w:rsidRPr="006E655C">
        <w:rPr>
          <w:rFonts w:ascii="Times New Roman" w:hAnsi="Times New Roman" w:cs="Times New Roman"/>
          <w:b/>
          <w:sz w:val="28"/>
          <w:szCs w:val="28"/>
        </w:rPr>
        <w:t>ДК</w:t>
      </w:r>
      <w:proofErr w:type="spellEnd"/>
      <w:r w:rsidRPr="006E655C">
        <w:rPr>
          <w:rFonts w:ascii="Times New Roman" w:hAnsi="Times New Roman" w:cs="Times New Roman"/>
          <w:b/>
          <w:sz w:val="28"/>
          <w:szCs w:val="28"/>
        </w:rPr>
        <w:t xml:space="preserve"> 021:2015: 33600000-6 Фармацевтична продукція</w:t>
      </w:r>
    </w:p>
    <w:p w:rsidR="006B5D6B" w:rsidRPr="002627DA" w:rsidRDefault="006B5D6B" w:rsidP="006B5D6B">
      <w:pPr>
        <w:jc w:val="center"/>
        <w:rPr>
          <w:rFonts w:ascii="Times New Roman" w:eastAsia="Times New Roman" w:hAnsi="Times New Roman" w:cs="Times New Roman"/>
          <w:color w:val="0E1D2F"/>
          <w:sz w:val="20"/>
          <w:szCs w:val="20"/>
          <w:lang w:eastAsia="uk-UA"/>
        </w:rPr>
      </w:pPr>
      <w:r w:rsidRPr="002627DA">
        <w:rPr>
          <w:rFonts w:ascii="Times New Roman" w:eastAsia="Times New Roman" w:hAnsi="Times New Roman" w:cs="Times New Roman"/>
          <w:color w:val="0E1D2F"/>
          <w:sz w:val="20"/>
          <w:szCs w:val="20"/>
          <w:lang w:eastAsia="uk-UA"/>
        </w:rPr>
        <w:t xml:space="preserve">Обґрунтування доцільності закупівлі. </w:t>
      </w:r>
    </w:p>
    <w:p w:rsidR="006B5D6B" w:rsidRPr="002627DA" w:rsidRDefault="006B5D6B" w:rsidP="006B5D6B">
      <w:pPr>
        <w:shd w:val="clear" w:color="auto" w:fill="FFFFFF"/>
        <w:spacing w:before="100" w:beforeAutospacing="1" w:after="100" w:afterAutospacing="1" w:line="240" w:lineRule="auto"/>
        <w:rPr>
          <w:rFonts w:ascii="Times New Roman" w:eastAsia="Times New Roman" w:hAnsi="Times New Roman" w:cs="Times New Roman"/>
          <w:color w:val="0E1D2F"/>
          <w:sz w:val="20"/>
          <w:szCs w:val="20"/>
          <w:lang w:eastAsia="uk-UA"/>
        </w:rPr>
      </w:pPr>
      <w:r w:rsidRPr="002627DA">
        <w:rPr>
          <w:rFonts w:ascii="Times New Roman" w:eastAsia="Times New Roman" w:hAnsi="Times New Roman" w:cs="Times New Roman"/>
          <w:color w:val="0E1D2F"/>
          <w:sz w:val="20"/>
          <w:szCs w:val="20"/>
          <w:lang w:eastAsia="uk-UA"/>
        </w:rPr>
        <w:t xml:space="preserve">Для виконання зазначених завдань/функцій Замовник повинен, зокрема, забезпечити </w:t>
      </w:r>
      <w:r>
        <w:rPr>
          <w:rFonts w:ascii="Times New Roman" w:eastAsia="Times New Roman" w:hAnsi="Times New Roman" w:cs="Times New Roman"/>
          <w:color w:val="0E1D2F"/>
          <w:sz w:val="20"/>
          <w:szCs w:val="20"/>
          <w:lang w:eastAsia="uk-UA"/>
        </w:rPr>
        <w:t xml:space="preserve">відділення анестезіології та інтенсивної терапії та відділ інтенсивної терапії новонароджених фармацевтичною продукцією  , для виконання цими  відділеннями своїх </w:t>
      </w:r>
      <w:r w:rsidRPr="002627DA">
        <w:rPr>
          <w:rFonts w:ascii="Times New Roman" w:eastAsia="Times New Roman" w:hAnsi="Times New Roman" w:cs="Times New Roman"/>
          <w:color w:val="0E1D2F"/>
          <w:sz w:val="20"/>
          <w:szCs w:val="20"/>
          <w:lang w:eastAsia="uk-UA"/>
        </w:rPr>
        <w:t xml:space="preserve"> функцій, що можуть знадобитися у процесі </w:t>
      </w:r>
      <w:r>
        <w:rPr>
          <w:rFonts w:ascii="Times New Roman" w:eastAsia="Times New Roman" w:hAnsi="Times New Roman" w:cs="Times New Roman"/>
          <w:color w:val="0E1D2F"/>
          <w:sz w:val="20"/>
          <w:szCs w:val="20"/>
          <w:lang w:eastAsia="uk-UA"/>
        </w:rPr>
        <w:t xml:space="preserve">надання допомоги пацієнтам </w:t>
      </w:r>
      <w:r w:rsidRPr="002627DA">
        <w:rPr>
          <w:rFonts w:ascii="Times New Roman" w:eastAsia="Times New Roman" w:hAnsi="Times New Roman" w:cs="Times New Roman"/>
          <w:color w:val="0E1D2F"/>
          <w:sz w:val="20"/>
          <w:szCs w:val="20"/>
          <w:lang w:eastAsia="uk-UA"/>
        </w:rPr>
        <w:t>.</w:t>
      </w:r>
    </w:p>
    <w:p w:rsidR="006B5D6B" w:rsidRDefault="006B5D6B" w:rsidP="006B5D6B">
      <w:pPr>
        <w:shd w:val="clear" w:color="auto" w:fill="FFFFFF"/>
        <w:spacing w:before="100" w:beforeAutospacing="1" w:after="100" w:afterAutospacing="1" w:line="240" w:lineRule="auto"/>
        <w:rPr>
          <w:rFonts w:ascii="Times New Roman" w:eastAsia="Times New Roman" w:hAnsi="Times New Roman" w:cs="Times New Roman"/>
          <w:color w:val="0E1D2F"/>
          <w:sz w:val="20"/>
          <w:szCs w:val="20"/>
          <w:lang w:eastAsia="uk-UA"/>
        </w:rPr>
      </w:pPr>
      <w:r w:rsidRPr="002627DA">
        <w:rPr>
          <w:rFonts w:ascii="Times New Roman" w:eastAsia="Times New Roman" w:hAnsi="Times New Roman" w:cs="Times New Roman"/>
          <w:color w:val="0E1D2F"/>
          <w:sz w:val="20"/>
          <w:szCs w:val="20"/>
          <w:lang w:eastAsia="uk-UA"/>
        </w:rPr>
        <w:t>Обґрунтування обсягів закупівлі. Обсяги визначено відповідно до очікуваної потреби, обрахованої Замовником на основі фактично</w:t>
      </w:r>
      <w:r>
        <w:rPr>
          <w:rFonts w:ascii="Times New Roman" w:eastAsia="Times New Roman" w:hAnsi="Times New Roman" w:cs="Times New Roman"/>
          <w:color w:val="0E1D2F"/>
          <w:sz w:val="20"/>
          <w:szCs w:val="20"/>
          <w:lang w:eastAsia="uk-UA"/>
        </w:rPr>
        <w:t xml:space="preserve"> поведених досліджень </w:t>
      </w:r>
      <w:r w:rsidRPr="002627DA">
        <w:rPr>
          <w:rFonts w:ascii="Times New Roman" w:eastAsia="Times New Roman" w:hAnsi="Times New Roman" w:cs="Times New Roman"/>
          <w:color w:val="0E1D2F"/>
          <w:sz w:val="20"/>
          <w:szCs w:val="20"/>
          <w:lang w:eastAsia="uk-UA"/>
        </w:rPr>
        <w:t xml:space="preserve"> у попереднь</w:t>
      </w:r>
      <w:r>
        <w:rPr>
          <w:rFonts w:ascii="Times New Roman" w:eastAsia="Times New Roman" w:hAnsi="Times New Roman" w:cs="Times New Roman"/>
          <w:color w:val="0E1D2F"/>
          <w:sz w:val="20"/>
          <w:szCs w:val="20"/>
          <w:lang w:eastAsia="uk-UA"/>
        </w:rPr>
        <w:t>ому році та обсягу фінансування, а також на підставі потреби закладу  , затвердженої генеральним директором.</w:t>
      </w:r>
    </w:p>
    <w:p w:rsidR="006B5D6B" w:rsidRDefault="006B5D6B" w:rsidP="006B5D6B">
      <w:pPr>
        <w:autoSpaceDE w:val="0"/>
        <w:autoSpaceDN w:val="0"/>
        <w:jc w:val="both"/>
        <w:rPr>
          <w:rFonts w:ascii="Times New Roman" w:hAnsi="Times New Roman"/>
          <w:bCs/>
        </w:rPr>
      </w:pPr>
      <w:r w:rsidRPr="00252EE3">
        <w:rPr>
          <w:rFonts w:ascii="Times New Roman" w:hAnsi="Times New Roman"/>
          <w:bCs/>
        </w:rPr>
        <w:t xml:space="preserve">Кількісні характеристики та одиниці виміру(специфікація): </w:t>
      </w:r>
    </w:p>
    <w:p w:rsidR="004621EB" w:rsidRPr="004D2F70" w:rsidRDefault="004621EB" w:rsidP="004621EB">
      <w:pPr>
        <w:jc w:val="center"/>
        <w:rPr>
          <w:rFonts w:ascii="Times New Roman" w:hAnsi="Times New Roman"/>
          <w:b/>
        </w:rPr>
      </w:pPr>
      <w:proofErr w:type="spellStart"/>
      <w:r w:rsidRPr="004D2F70">
        <w:rPr>
          <w:rFonts w:ascii="Times New Roman" w:hAnsi="Times New Roman"/>
          <w:b/>
        </w:rPr>
        <w:t>Медико-технічні</w:t>
      </w:r>
      <w:proofErr w:type="spellEnd"/>
      <w:r w:rsidRPr="004D2F70">
        <w:rPr>
          <w:rFonts w:ascii="Times New Roman" w:hAnsi="Times New Roman"/>
          <w:b/>
        </w:rPr>
        <w:t xml:space="preserve"> вимоги </w:t>
      </w:r>
    </w:p>
    <w:p w:rsidR="004621EB" w:rsidRPr="004D2F70" w:rsidRDefault="004621EB" w:rsidP="004621EB">
      <w:pPr>
        <w:keepLines/>
        <w:autoSpaceDE w:val="0"/>
        <w:autoSpaceDN w:val="0"/>
        <w:jc w:val="center"/>
        <w:rPr>
          <w:rFonts w:ascii="Times New Roman" w:hAnsi="Times New Roman"/>
          <w:color w:val="333333"/>
          <w:lang w:eastAsia="uk-UA"/>
        </w:rPr>
      </w:pPr>
      <w:r w:rsidRPr="004D2F70">
        <w:rPr>
          <w:rFonts w:ascii="Times New Roman" w:hAnsi="Times New Roman"/>
          <w:color w:val="333333"/>
          <w:lang w:eastAsia="uk-UA"/>
        </w:rPr>
        <w:t xml:space="preserve">Фенобарбітал 0,005 Глюкоза 0,2 </w:t>
      </w:r>
    </w:p>
    <w:p w:rsidR="004621EB" w:rsidRPr="004D2F70" w:rsidRDefault="004621EB" w:rsidP="004621EB">
      <w:pPr>
        <w:keepLines/>
        <w:autoSpaceDE w:val="0"/>
        <w:autoSpaceDN w:val="0"/>
        <w:jc w:val="center"/>
        <w:rPr>
          <w:rFonts w:ascii="Times New Roman" w:hAnsi="Times New Roman"/>
          <w:color w:val="333333"/>
        </w:rPr>
      </w:pPr>
      <w:proofErr w:type="spellStart"/>
      <w:r w:rsidRPr="004D2F70">
        <w:rPr>
          <w:rFonts w:ascii="Times New Roman" w:hAnsi="Times New Roman"/>
          <w:color w:val="333333"/>
          <w:u w:val="single"/>
        </w:rPr>
        <w:t>ДК</w:t>
      </w:r>
      <w:proofErr w:type="spellEnd"/>
      <w:r w:rsidRPr="004D2F70">
        <w:rPr>
          <w:rFonts w:ascii="Times New Roman" w:hAnsi="Times New Roman"/>
          <w:color w:val="333333"/>
          <w:u w:val="single"/>
        </w:rPr>
        <w:t xml:space="preserve"> 021:2015 Єдиний закупівельний словник 33600000-6 Фармацевтична продукція</w:t>
      </w:r>
      <w:r w:rsidRPr="004D2F70">
        <w:rPr>
          <w:rFonts w:ascii="Times New Roman" w:hAnsi="Times New Roman"/>
          <w:color w:val="333333"/>
        </w:rPr>
        <w:t xml:space="preserve"> .</w:t>
      </w:r>
    </w:p>
    <w:p w:rsidR="004621EB" w:rsidRPr="004D2F70" w:rsidRDefault="004621EB" w:rsidP="004621EB">
      <w:pPr>
        <w:shd w:val="clear" w:color="auto" w:fill="FFFFFF"/>
        <w:textAlignment w:val="baseline"/>
        <w:rPr>
          <w:rFonts w:ascii="Times New Roman" w:hAnsi="Times New Roman"/>
          <w:color w:val="333333"/>
          <w:lang w:eastAsia="uk-UA"/>
        </w:rPr>
      </w:pPr>
    </w:p>
    <w:p w:rsidR="004621EB" w:rsidRPr="00077197" w:rsidRDefault="004621EB" w:rsidP="004621EB">
      <w:pPr>
        <w:jc w:val="center"/>
        <w:rPr>
          <w:rFonts w:ascii="Times New Roman" w:hAnsi="Times New Roman"/>
          <w:i/>
          <w:color w:val="000000"/>
        </w:rPr>
      </w:pPr>
      <w:r w:rsidRPr="00077197">
        <w:rPr>
          <w:rFonts w:ascii="Times New Roman" w:hAnsi="Times New Roman"/>
          <w:i/>
          <w:color w:val="000000"/>
        </w:rPr>
        <w:t>ТЕХНІЧНІ ВИМОГИ</w:t>
      </w:r>
    </w:p>
    <w:p w:rsidR="004621EB" w:rsidRPr="004D2F70" w:rsidRDefault="004621EB" w:rsidP="004621EB">
      <w:pPr>
        <w:jc w:val="center"/>
        <w:rPr>
          <w:rFonts w:ascii="Times New Roman" w:hAnsi="Times New Roman"/>
          <w:i/>
          <w:color w:val="000000"/>
          <w:lang w:eastAsia="uk-UA"/>
        </w:rPr>
      </w:pPr>
      <w:r w:rsidRPr="00077197">
        <w:rPr>
          <w:rFonts w:ascii="Times New Roman" w:hAnsi="Times New Roman"/>
          <w:i/>
          <w:color w:val="000000"/>
          <w:lang w:eastAsia="uk-UA"/>
        </w:rPr>
        <w:t>Інформація про необхідні технічні, якісні та кількісні характеристики предмета закупівлі  та перелік документів, що надаються на підтвердження відповідності товару необхідним характеристикам</w:t>
      </w:r>
    </w:p>
    <w:tbl>
      <w:tblPr>
        <w:tblW w:w="10490"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1560"/>
        <w:gridCol w:w="1276"/>
        <w:gridCol w:w="2126"/>
        <w:gridCol w:w="142"/>
        <w:gridCol w:w="3118"/>
        <w:gridCol w:w="993"/>
        <w:gridCol w:w="850"/>
      </w:tblGrid>
      <w:tr w:rsidR="004621EB" w:rsidRPr="00077197" w:rsidTr="001240B8">
        <w:trPr>
          <w:trHeight w:val="80"/>
        </w:trPr>
        <w:tc>
          <w:tcPr>
            <w:tcW w:w="425" w:type="dxa"/>
            <w:tcBorders>
              <w:top w:val="nil"/>
              <w:left w:val="nil"/>
              <w:bottom w:val="single" w:sz="4" w:space="0" w:color="auto"/>
              <w:right w:val="nil"/>
            </w:tcBorders>
          </w:tcPr>
          <w:p w:rsidR="004621EB" w:rsidRPr="00077197" w:rsidRDefault="004621EB" w:rsidP="001240B8">
            <w:pPr>
              <w:spacing w:after="0" w:line="240" w:lineRule="auto"/>
              <w:rPr>
                <w:rFonts w:ascii="Times New Roman" w:eastAsia="Calibri" w:hAnsi="Times New Roman"/>
              </w:rPr>
            </w:pPr>
          </w:p>
        </w:tc>
        <w:tc>
          <w:tcPr>
            <w:tcW w:w="1560" w:type="dxa"/>
            <w:tcBorders>
              <w:top w:val="nil"/>
              <w:left w:val="nil"/>
              <w:bottom w:val="single" w:sz="4" w:space="0" w:color="auto"/>
              <w:right w:val="nil"/>
            </w:tcBorders>
          </w:tcPr>
          <w:p w:rsidR="004621EB" w:rsidRPr="00077197" w:rsidRDefault="004621EB" w:rsidP="001240B8">
            <w:pPr>
              <w:spacing w:after="0" w:line="240" w:lineRule="auto"/>
              <w:rPr>
                <w:rFonts w:ascii="Times New Roman" w:eastAsia="Calibri" w:hAnsi="Times New Roman"/>
              </w:rPr>
            </w:pPr>
          </w:p>
        </w:tc>
        <w:tc>
          <w:tcPr>
            <w:tcW w:w="1276" w:type="dxa"/>
            <w:tcBorders>
              <w:top w:val="nil"/>
              <w:left w:val="nil"/>
              <w:bottom w:val="single" w:sz="4" w:space="0" w:color="auto"/>
              <w:right w:val="nil"/>
            </w:tcBorders>
          </w:tcPr>
          <w:p w:rsidR="004621EB" w:rsidRPr="00077197" w:rsidRDefault="004621EB" w:rsidP="001240B8">
            <w:pPr>
              <w:spacing w:after="0" w:line="240" w:lineRule="auto"/>
              <w:jc w:val="right"/>
              <w:rPr>
                <w:rFonts w:ascii="Times New Roman" w:eastAsia="Calibri" w:hAnsi="Times New Roman"/>
                <w:b/>
              </w:rPr>
            </w:pPr>
          </w:p>
        </w:tc>
        <w:tc>
          <w:tcPr>
            <w:tcW w:w="2268" w:type="dxa"/>
            <w:gridSpan w:val="2"/>
            <w:tcBorders>
              <w:top w:val="nil"/>
              <w:left w:val="nil"/>
              <w:bottom w:val="single" w:sz="4" w:space="0" w:color="auto"/>
              <w:right w:val="nil"/>
            </w:tcBorders>
            <w:hideMark/>
          </w:tcPr>
          <w:p w:rsidR="004621EB" w:rsidRPr="00077197" w:rsidRDefault="004621EB" w:rsidP="001240B8">
            <w:pPr>
              <w:spacing w:after="0" w:line="240" w:lineRule="auto"/>
              <w:rPr>
                <w:rFonts w:ascii="Times New Roman" w:eastAsia="Calibri" w:hAnsi="Times New Roman"/>
                <w:b/>
                <w:i/>
              </w:rPr>
            </w:pPr>
          </w:p>
        </w:tc>
        <w:tc>
          <w:tcPr>
            <w:tcW w:w="3118" w:type="dxa"/>
            <w:tcBorders>
              <w:top w:val="nil"/>
              <w:left w:val="nil"/>
              <w:bottom w:val="single" w:sz="4" w:space="0" w:color="auto"/>
              <w:right w:val="nil"/>
            </w:tcBorders>
          </w:tcPr>
          <w:p w:rsidR="004621EB" w:rsidRPr="00077197" w:rsidRDefault="004621EB" w:rsidP="001240B8">
            <w:pPr>
              <w:spacing w:after="0" w:line="240" w:lineRule="auto"/>
              <w:ind w:left="-816" w:right="-392" w:firstLine="816"/>
              <w:rPr>
                <w:rFonts w:ascii="Times New Roman" w:eastAsia="Calibri" w:hAnsi="Times New Roman"/>
                <w:b/>
                <w:i/>
              </w:rPr>
            </w:pPr>
          </w:p>
        </w:tc>
        <w:tc>
          <w:tcPr>
            <w:tcW w:w="993" w:type="dxa"/>
            <w:tcBorders>
              <w:top w:val="nil"/>
              <w:left w:val="nil"/>
              <w:bottom w:val="single" w:sz="4" w:space="0" w:color="auto"/>
              <w:right w:val="nil"/>
            </w:tcBorders>
          </w:tcPr>
          <w:p w:rsidR="004621EB" w:rsidRPr="00077197" w:rsidRDefault="004621EB" w:rsidP="001240B8">
            <w:pPr>
              <w:spacing w:after="0" w:line="240" w:lineRule="auto"/>
              <w:rPr>
                <w:rFonts w:ascii="Times New Roman" w:eastAsia="Calibri" w:hAnsi="Times New Roman"/>
              </w:rPr>
            </w:pPr>
          </w:p>
        </w:tc>
        <w:tc>
          <w:tcPr>
            <w:tcW w:w="850" w:type="dxa"/>
            <w:tcBorders>
              <w:top w:val="nil"/>
              <w:left w:val="nil"/>
              <w:bottom w:val="single" w:sz="4" w:space="0" w:color="auto"/>
              <w:right w:val="nil"/>
            </w:tcBorders>
          </w:tcPr>
          <w:p w:rsidR="004621EB" w:rsidRPr="00077197" w:rsidRDefault="004621EB" w:rsidP="001240B8">
            <w:pPr>
              <w:spacing w:after="0" w:line="240" w:lineRule="auto"/>
              <w:rPr>
                <w:rFonts w:ascii="Times New Roman" w:eastAsia="Calibri" w:hAnsi="Times New Roman"/>
              </w:rPr>
            </w:pPr>
          </w:p>
        </w:tc>
      </w:tr>
      <w:tr w:rsidR="004621EB" w:rsidRPr="004D2F70" w:rsidTr="001240B8">
        <w:tc>
          <w:tcPr>
            <w:tcW w:w="425" w:type="dxa"/>
            <w:tcBorders>
              <w:top w:val="single" w:sz="4" w:space="0" w:color="auto"/>
              <w:left w:val="single" w:sz="4" w:space="0" w:color="000000"/>
              <w:bottom w:val="single" w:sz="4" w:space="0" w:color="000000"/>
              <w:right w:val="single" w:sz="4" w:space="0" w:color="000000"/>
            </w:tcBorders>
          </w:tcPr>
          <w:p w:rsidR="004621EB" w:rsidRPr="004D2F70" w:rsidRDefault="004621EB" w:rsidP="001240B8">
            <w:pPr>
              <w:spacing w:after="0" w:line="240" w:lineRule="auto"/>
              <w:jc w:val="center"/>
              <w:rPr>
                <w:rFonts w:ascii="Times New Roman" w:eastAsia="Calibri" w:hAnsi="Times New Roman"/>
              </w:rPr>
            </w:pPr>
            <w:r w:rsidRPr="004D2F70">
              <w:rPr>
                <w:rFonts w:ascii="Times New Roman" w:eastAsia="Calibri" w:hAnsi="Times New Roman"/>
              </w:rPr>
              <w:t>№</w:t>
            </w:r>
          </w:p>
          <w:p w:rsidR="004621EB" w:rsidRPr="004D2F70" w:rsidRDefault="004621EB" w:rsidP="001240B8">
            <w:pPr>
              <w:spacing w:after="0" w:line="240" w:lineRule="auto"/>
              <w:jc w:val="center"/>
              <w:rPr>
                <w:rFonts w:ascii="Times New Roman" w:eastAsia="Calibri" w:hAnsi="Times New Roman"/>
              </w:rPr>
            </w:pPr>
            <w:r w:rsidRPr="004D2F70">
              <w:rPr>
                <w:rFonts w:ascii="Times New Roman" w:eastAsia="Calibri" w:hAnsi="Times New Roman"/>
              </w:rPr>
              <w:t>з/п</w:t>
            </w:r>
          </w:p>
        </w:tc>
        <w:tc>
          <w:tcPr>
            <w:tcW w:w="1560" w:type="dxa"/>
            <w:tcBorders>
              <w:top w:val="single" w:sz="4" w:space="0" w:color="auto"/>
              <w:left w:val="single" w:sz="4" w:space="0" w:color="000000"/>
              <w:bottom w:val="single" w:sz="4" w:space="0" w:color="000000"/>
              <w:right w:val="single" w:sz="4" w:space="0" w:color="000000"/>
            </w:tcBorders>
          </w:tcPr>
          <w:p w:rsidR="004621EB" w:rsidRPr="004D2F70" w:rsidRDefault="004621EB" w:rsidP="001240B8">
            <w:pPr>
              <w:spacing w:after="0" w:line="240" w:lineRule="auto"/>
              <w:jc w:val="center"/>
              <w:rPr>
                <w:rFonts w:ascii="Times New Roman" w:eastAsia="Calibri" w:hAnsi="Times New Roman"/>
                <w:b/>
                <w:lang w:val="en-US"/>
              </w:rPr>
            </w:pPr>
            <w:proofErr w:type="spellStart"/>
            <w:r w:rsidRPr="004D2F70">
              <w:rPr>
                <w:rFonts w:ascii="Times New Roman" w:eastAsia="Calibri" w:hAnsi="Times New Roman"/>
                <w:b/>
                <w:lang w:val="en-US"/>
              </w:rPr>
              <w:t>Міжнародна</w:t>
            </w:r>
            <w:proofErr w:type="spellEnd"/>
            <w:r w:rsidRPr="004D2F70">
              <w:rPr>
                <w:rFonts w:ascii="Times New Roman" w:eastAsia="Calibri" w:hAnsi="Times New Roman"/>
                <w:b/>
                <w:lang w:val="en-US"/>
              </w:rPr>
              <w:t xml:space="preserve"> </w:t>
            </w:r>
            <w:proofErr w:type="spellStart"/>
            <w:r w:rsidRPr="004D2F70">
              <w:rPr>
                <w:rFonts w:ascii="Times New Roman" w:eastAsia="Calibri" w:hAnsi="Times New Roman"/>
                <w:b/>
                <w:lang w:val="en-US"/>
              </w:rPr>
              <w:t>непатентована</w:t>
            </w:r>
            <w:proofErr w:type="spellEnd"/>
            <w:r w:rsidRPr="004D2F70">
              <w:rPr>
                <w:rFonts w:ascii="Times New Roman" w:eastAsia="Calibri" w:hAnsi="Times New Roman"/>
                <w:b/>
                <w:lang w:val="en-US"/>
              </w:rPr>
              <w:t xml:space="preserve"> </w:t>
            </w:r>
            <w:proofErr w:type="spellStart"/>
            <w:r w:rsidRPr="004D2F70">
              <w:rPr>
                <w:rFonts w:ascii="Times New Roman" w:eastAsia="Calibri" w:hAnsi="Times New Roman"/>
                <w:b/>
                <w:lang w:val="en-US"/>
              </w:rPr>
              <w:t>назва</w:t>
            </w:r>
            <w:proofErr w:type="spellEnd"/>
          </w:p>
        </w:tc>
        <w:tc>
          <w:tcPr>
            <w:tcW w:w="1276" w:type="dxa"/>
            <w:tcBorders>
              <w:top w:val="single" w:sz="4" w:space="0" w:color="auto"/>
              <w:left w:val="single" w:sz="4" w:space="0" w:color="000000"/>
              <w:bottom w:val="single" w:sz="4" w:space="0" w:color="000000"/>
              <w:right w:val="single" w:sz="4" w:space="0" w:color="000000"/>
            </w:tcBorders>
          </w:tcPr>
          <w:p w:rsidR="004621EB" w:rsidRPr="004D2F70" w:rsidRDefault="004621EB" w:rsidP="001240B8">
            <w:pPr>
              <w:spacing w:after="0" w:line="240" w:lineRule="auto"/>
              <w:jc w:val="center"/>
              <w:rPr>
                <w:rFonts w:ascii="Times New Roman" w:eastAsia="Calibri" w:hAnsi="Times New Roman"/>
                <w:b/>
              </w:rPr>
            </w:pPr>
            <w:r w:rsidRPr="004D2F70">
              <w:rPr>
                <w:rFonts w:ascii="Times New Roman" w:eastAsia="Calibri" w:hAnsi="Times New Roman"/>
                <w:b/>
              </w:rPr>
              <w:t>Код</w:t>
            </w:r>
          </w:p>
          <w:p w:rsidR="004621EB" w:rsidRPr="004D2F70" w:rsidRDefault="004621EB" w:rsidP="001240B8">
            <w:pPr>
              <w:spacing w:after="0" w:line="240" w:lineRule="auto"/>
              <w:jc w:val="center"/>
              <w:rPr>
                <w:rFonts w:ascii="Times New Roman" w:eastAsia="Calibri" w:hAnsi="Times New Roman"/>
                <w:b/>
              </w:rPr>
            </w:pPr>
            <w:r w:rsidRPr="004D2F70">
              <w:rPr>
                <w:rFonts w:ascii="Times New Roman" w:eastAsia="Calibri" w:hAnsi="Times New Roman"/>
                <w:b/>
              </w:rPr>
              <w:t>АТС</w:t>
            </w:r>
          </w:p>
        </w:tc>
        <w:tc>
          <w:tcPr>
            <w:tcW w:w="2126" w:type="dxa"/>
            <w:tcBorders>
              <w:top w:val="single" w:sz="4" w:space="0" w:color="auto"/>
              <w:left w:val="single" w:sz="4" w:space="0" w:color="000000"/>
              <w:bottom w:val="single" w:sz="4" w:space="0" w:color="000000"/>
              <w:right w:val="single" w:sz="4" w:space="0" w:color="000000"/>
            </w:tcBorders>
          </w:tcPr>
          <w:p w:rsidR="004621EB" w:rsidRPr="004D2F70" w:rsidRDefault="004621EB" w:rsidP="001240B8">
            <w:pPr>
              <w:spacing w:after="0" w:line="240" w:lineRule="auto"/>
              <w:jc w:val="center"/>
              <w:rPr>
                <w:rFonts w:ascii="Times New Roman" w:eastAsia="Calibri" w:hAnsi="Times New Roman"/>
                <w:b/>
                <w:lang w:val="en-US"/>
              </w:rPr>
            </w:pPr>
            <w:proofErr w:type="spellStart"/>
            <w:r w:rsidRPr="004D2F70">
              <w:rPr>
                <w:rFonts w:ascii="Times New Roman" w:eastAsia="Calibri" w:hAnsi="Times New Roman"/>
                <w:b/>
                <w:lang w:val="en-US"/>
              </w:rPr>
              <w:t>Торгівельна</w:t>
            </w:r>
            <w:proofErr w:type="spellEnd"/>
            <w:r w:rsidRPr="004D2F70">
              <w:rPr>
                <w:rFonts w:ascii="Times New Roman" w:eastAsia="Calibri" w:hAnsi="Times New Roman"/>
                <w:b/>
                <w:lang w:val="en-US"/>
              </w:rPr>
              <w:t xml:space="preserve"> </w:t>
            </w:r>
            <w:proofErr w:type="spellStart"/>
            <w:r w:rsidRPr="004D2F70">
              <w:rPr>
                <w:rFonts w:ascii="Times New Roman" w:eastAsia="Calibri" w:hAnsi="Times New Roman"/>
                <w:b/>
                <w:lang w:val="en-US"/>
              </w:rPr>
              <w:t>назва</w:t>
            </w:r>
            <w:proofErr w:type="spellEnd"/>
            <w:r w:rsidRPr="004D2F70">
              <w:rPr>
                <w:rFonts w:ascii="Times New Roman" w:eastAsia="Calibri" w:hAnsi="Times New Roman"/>
                <w:b/>
                <w:lang w:val="en-US"/>
              </w:rPr>
              <w:t xml:space="preserve"> </w:t>
            </w:r>
            <w:proofErr w:type="spellStart"/>
            <w:r w:rsidRPr="004D2F70">
              <w:rPr>
                <w:rFonts w:ascii="Times New Roman" w:eastAsia="Calibri" w:hAnsi="Times New Roman"/>
                <w:b/>
                <w:lang w:val="en-US"/>
              </w:rPr>
              <w:t>або</w:t>
            </w:r>
            <w:proofErr w:type="spellEnd"/>
            <w:r w:rsidRPr="004D2F70">
              <w:rPr>
                <w:rFonts w:ascii="Times New Roman" w:eastAsia="Calibri" w:hAnsi="Times New Roman"/>
                <w:b/>
                <w:lang w:val="en-US"/>
              </w:rPr>
              <w:t xml:space="preserve"> </w:t>
            </w:r>
            <w:proofErr w:type="spellStart"/>
            <w:r w:rsidRPr="004D2F70">
              <w:rPr>
                <w:rFonts w:ascii="Times New Roman" w:eastAsia="Calibri" w:hAnsi="Times New Roman"/>
                <w:b/>
                <w:lang w:val="en-US"/>
              </w:rPr>
              <w:t>еквівалент</w:t>
            </w:r>
            <w:proofErr w:type="spellEnd"/>
            <w:r w:rsidRPr="004D2F70">
              <w:rPr>
                <w:rFonts w:ascii="Times New Roman" w:eastAsia="Calibri" w:hAnsi="Times New Roman"/>
                <w:b/>
                <w:lang w:val="en-US"/>
              </w:rPr>
              <w:t>*</w:t>
            </w:r>
          </w:p>
        </w:tc>
        <w:tc>
          <w:tcPr>
            <w:tcW w:w="3260" w:type="dxa"/>
            <w:gridSpan w:val="2"/>
            <w:tcBorders>
              <w:top w:val="single" w:sz="4" w:space="0" w:color="auto"/>
              <w:left w:val="single" w:sz="4" w:space="0" w:color="000000"/>
              <w:bottom w:val="single" w:sz="4" w:space="0" w:color="000000"/>
              <w:right w:val="single" w:sz="4" w:space="0" w:color="000000"/>
            </w:tcBorders>
          </w:tcPr>
          <w:p w:rsidR="004621EB" w:rsidRPr="004D2F70" w:rsidRDefault="004621EB" w:rsidP="001240B8">
            <w:pPr>
              <w:spacing w:after="0" w:line="240" w:lineRule="auto"/>
              <w:jc w:val="center"/>
              <w:rPr>
                <w:rFonts w:ascii="Times New Roman" w:eastAsia="Calibri" w:hAnsi="Times New Roman"/>
                <w:b/>
              </w:rPr>
            </w:pPr>
            <w:r w:rsidRPr="004D2F70">
              <w:rPr>
                <w:rFonts w:ascii="Times New Roman" w:eastAsia="Calibri" w:hAnsi="Times New Roman"/>
                <w:b/>
              </w:rPr>
              <w:t>Форма випуску, доза лікарського засобу</w:t>
            </w:r>
          </w:p>
        </w:tc>
        <w:tc>
          <w:tcPr>
            <w:tcW w:w="993" w:type="dxa"/>
            <w:tcBorders>
              <w:top w:val="single" w:sz="4" w:space="0" w:color="auto"/>
              <w:left w:val="single" w:sz="4" w:space="0" w:color="000000"/>
              <w:bottom w:val="single" w:sz="4" w:space="0" w:color="000000"/>
              <w:right w:val="single" w:sz="4" w:space="0" w:color="000000"/>
            </w:tcBorders>
          </w:tcPr>
          <w:p w:rsidR="004621EB" w:rsidRPr="004D2F70" w:rsidRDefault="004621EB" w:rsidP="001240B8">
            <w:pPr>
              <w:spacing w:after="0" w:line="240" w:lineRule="auto"/>
              <w:jc w:val="center"/>
              <w:rPr>
                <w:rFonts w:ascii="Times New Roman" w:eastAsia="Calibri" w:hAnsi="Times New Roman"/>
                <w:b/>
              </w:rPr>
            </w:pPr>
            <w:r w:rsidRPr="004D2F70">
              <w:rPr>
                <w:rFonts w:ascii="Times New Roman" w:eastAsia="Calibri" w:hAnsi="Times New Roman"/>
                <w:b/>
              </w:rPr>
              <w:t>Один. виміру</w:t>
            </w:r>
          </w:p>
        </w:tc>
        <w:tc>
          <w:tcPr>
            <w:tcW w:w="850" w:type="dxa"/>
            <w:tcBorders>
              <w:top w:val="single" w:sz="4" w:space="0" w:color="auto"/>
              <w:left w:val="single" w:sz="4" w:space="0" w:color="000000"/>
              <w:bottom w:val="single" w:sz="4" w:space="0" w:color="000000"/>
              <w:right w:val="single" w:sz="4" w:space="0" w:color="000000"/>
            </w:tcBorders>
          </w:tcPr>
          <w:p w:rsidR="004621EB" w:rsidRPr="004D2F70" w:rsidRDefault="004621EB" w:rsidP="001240B8">
            <w:pPr>
              <w:spacing w:after="0" w:line="240" w:lineRule="auto"/>
              <w:jc w:val="center"/>
              <w:rPr>
                <w:rFonts w:ascii="Times New Roman" w:eastAsia="Calibri" w:hAnsi="Times New Roman"/>
                <w:b/>
              </w:rPr>
            </w:pPr>
            <w:proofErr w:type="spellStart"/>
            <w:r w:rsidRPr="004D2F70">
              <w:rPr>
                <w:rFonts w:ascii="Times New Roman" w:eastAsia="Calibri" w:hAnsi="Times New Roman"/>
                <w:b/>
              </w:rPr>
              <w:t>К-ть</w:t>
            </w:r>
            <w:proofErr w:type="spellEnd"/>
          </w:p>
        </w:tc>
      </w:tr>
      <w:tr w:rsidR="004621EB" w:rsidRPr="004D2F70" w:rsidTr="001240B8">
        <w:tc>
          <w:tcPr>
            <w:tcW w:w="425" w:type="dxa"/>
            <w:tcBorders>
              <w:top w:val="single" w:sz="4" w:space="0" w:color="000000"/>
              <w:left w:val="single" w:sz="4" w:space="0" w:color="000000"/>
              <w:bottom w:val="single" w:sz="4" w:space="0" w:color="000000"/>
              <w:right w:val="single" w:sz="4" w:space="0" w:color="000000"/>
            </w:tcBorders>
          </w:tcPr>
          <w:p w:rsidR="004621EB" w:rsidRPr="004D2F70" w:rsidRDefault="004621EB" w:rsidP="001240B8">
            <w:pPr>
              <w:spacing w:after="0" w:line="240" w:lineRule="auto"/>
              <w:rPr>
                <w:rFonts w:ascii="Times New Roman" w:eastAsia="Calibri" w:hAnsi="Times New Roman"/>
              </w:rPr>
            </w:pPr>
            <w:r w:rsidRPr="004D2F70">
              <w:rPr>
                <w:rFonts w:ascii="Times New Roman" w:eastAsia="Calibri" w:hAnsi="Times New Roman"/>
              </w:rPr>
              <w:t>1</w:t>
            </w:r>
          </w:p>
        </w:tc>
        <w:tc>
          <w:tcPr>
            <w:tcW w:w="1560" w:type="dxa"/>
            <w:tcBorders>
              <w:top w:val="single" w:sz="4" w:space="0" w:color="000000"/>
              <w:left w:val="single" w:sz="4" w:space="0" w:color="000000"/>
              <w:bottom w:val="single" w:sz="4" w:space="0" w:color="000000"/>
              <w:right w:val="single" w:sz="4" w:space="0" w:color="000000"/>
            </w:tcBorders>
          </w:tcPr>
          <w:p w:rsidR="004621EB" w:rsidRPr="004D2F70" w:rsidRDefault="004621EB" w:rsidP="001240B8">
            <w:pPr>
              <w:spacing w:after="0" w:line="240" w:lineRule="auto"/>
              <w:rPr>
                <w:rFonts w:ascii="Times New Roman" w:eastAsia="Calibri" w:hAnsi="Times New Roman"/>
                <w:lang w:val="en-US"/>
              </w:rPr>
            </w:pPr>
            <w:proofErr w:type="spellStart"/>
            <w:r w:rsidRPr="004D2F70">
              <w:rPr>
                <w:rFonts w:ascii="Times New Roman" w:hAnsi="Times New Roman"/>
                <w:color w:val="4D5156"/>
                <w:shd w:val="clear" w:color="auto" w:fill="FFFFFF"/>
              </w:rPr>
              <w:t>Phenobarbital</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4621EB" w:rsidRPr="004D2F70" w:rsidRDefault="004621EB" w:rsidP="001240B8">
            <w:pPr>
              <w:spacing w:after="0" w:line="240" w:lineRule="auto"/>
              <w:rPr>
                <w:rFonts w:ascii="Times New Roman" w:eastAsia="Calibri" w:hAnsi="Times New Roman"/>
                <w:lang w:val="en-US"/>
              </w:rPr>
            </w:pPr>
            <w:r w:rsidRPr="004D2F70">
              <w:rPr>
                <w:rFonts w:ascii="Times New Roman" w:eastAsia="Calibri" w:hAnsi="Times New Roman"/>
              </w:rPr>
              <w:t>N03AA02</w:t>
            </w:r>
          </w:p>
        </w:tc>
        <w:tc>
          <w:tcPr>
            <w:tcW w:w="2126" w:type="dxa"/>
            <w:tcBorders>
              <w:top w:val="single" w:sz="4" w:space="0" w:color="000000"/>
              <w:left w:val="single" w:sz="4" w:space="0" w:color="000000"/>
              <w:bottom w:val="single" w:sz="4" w:space="0" w:color="000000"/>
              <w:right w:val="single" w:sz="4" w:space="0" w:color="000000"/>
            </w:tcBorders>
          </w:tcPr>
          <w:p w:rsidR="004621EB" w:rsidRPr="004D2F70" w:rsidRDefault="004621EB" w:rsidP="001240B8">
            <w:pPr>
              <w:spacing w:after="0" w:line="240" w:lineRule="auto"/>
              <w:rPr>
                <w:rFonts w:ascii="Times New Roman" w:eastAsia="Calibri" w:hAnsi="Times New Roman"/>
                <w:lang w:val="en-US"/>
              </w:rPr>
            </w:pPr>
            <w:proofErr w:type="spellStart"/>
            <w:r w:rsidRPr="004D2F70">
              <w:rPr>
                <w:rFonts w:ascii="Times New Roman" w:eastAsia="Calibri" w:hAnsi="Times New Roman"/>
                <w:lang w:val="en-US"/>
              </w:rPr>
              <w:t>Фенобарбітал</w:t>
            </w:r>
            <w:proofErr w:type="spellEnd"/>
            <w:r w:rsidRPr="004D2F70">
              <w:rPr>
                <w:rFonts w:ascii="Times New Roman" w:eastAsia="Calibri" w:hAnsi="Times New Roman"/>
                <w:lang w:val="en-US"/>
              </w:rPr>
              <w:t xml:space="preserve">  0,005  </w:t>
            </w:r>
            <w:proofErr w:type="spellStart"/>
            <w:r w:rsidRPr="004D2F70">
              <w:rPr>
                <w:rFonts w:ascii="Times New Roman" w:eastAsia="Calibri" w:hAnsi="Times New Roman"/>
                <w:lang w:val="en-US"/>
              </w:rPr>
              <w:t>Глюкоза</w:t>
            </w:r>
            <w:proofErr w:type="spellEnd"/>
            <w:r w:rsidRPr="004D2F70">
              <w:rPr>
                <w:rFonts w:ascii="Times New Roman" w:eastAsia="Calibri" w:hAnsi="Times New Roman"/>
                <w:lang w:val="en-US"/>
              </w:rPr>
              <w:t xml:space="preserve"> 0,2</w:t>
            </w:r>
          </w:p>
        </w:tc>
        <w:tc>
          <w:tcPr>
            <w:tcW w:w="3260" w:type="dxa"/>
            <w:gridSpan w:val="2"/>
            <w:tcBorders>
              <w:top w:val="single" w:sz="4" w:space="0" w:color="000000"/>
              <w:left w:val="single" w:sz="4" w:space="0" w:color="000000"/>
              <w:bottom w:val="single" w:sz="4" w:space="0" w:color="000000"/>
              <w:right w:val="single" w:sz="4" w:space="0" w:color="000000"/>
            </w:tcBorders>
          </w:tcPr>
          <w:p w:rsidR="004621EB" w:rsidRPr="004D2F70" w:rsidRDefault="004621EB" w:rsidP="001240B8">
            <w:pPr>
              <w:spacing w:after="0" w:line="240" w:lineRule="auto"/>
              <w:rPr>
                <w:rFonts w:ascii="Times New Roman" w:eastAsia="Calibri" w:hAnsi="Times New Roman"/>
                <w:lang w:val="en-US"/>
              </w:rPr>
            </w:pPr>
            <w:r w:rsidRPr="004D2F70">
              <w:rPr>
                <w:rFonts w:ascii="Times New Roman" w:eastAsia="Calibri" w:hAnsi="Times New Roman"/>
              </w:rPr>
              <w:t xml:space="preserve">Фенобарбітал </w:t>
            </w:r>
            <w:r w:rsidRPr="004D2F70">
              <w:rPr>
                <w:rFonts w:ascii="Times New Roman" w:eastAsia="Calibri" w:hAnsi="Times New Roman"/>
                <w:lang w:val="en-US"/>
              </w:rPr>
              <w:t>0,005</w:t>
            </w:r>
            <w:r w:rsidRPr="004D2F70">
              <w:rPr>
                <w:rFonts w:ascii="Times New Roman" w:eastAsia="Calibri" w:hAnsi="Times New Roman"/>
              </w:rPr>
              <w:t xml:space="preserve"> глюкоза</w:t>
            </w:r>
            <w:r w:rsidRPr="004D2F70">
              <w:rPr>
                <w:rFonts w:ascii="Times New Roman" w:eastAsia="Calibri" w:hAnsi="Times New Roman"/>
                <w:lang w:val="en-US"/>
              </w:rPr>
              <w:t xml:space="preserve"> 0,2 </w:t>
            </w:r>
          </w:p>
        </w:tc>
        <w:tc>
          <w:tcPr>
            <w:tcW w:w="993" w:type="dxa"/>
            <w:tcBorders>
              <w:top w:val="single" w:sz="4" w:space="0" w:color="000000"/>
              <w:left w:val="single" w:sz="4" w:space="0" w:color="000000"/>
              <w:bottom w:val="single" w:sz="4" w:space="0" w:color="000000"/>
              <w:right w:val="single" w:sz="4" w:space="0" w:color="000000"/>
            </w:tcBorders>
          </w:tcPr>
          <w:p w:rsidR="004621EB" w:rsidRPr="004D2F70" w:rsidRDefault="004621EB" w:rsidP="001240B8">
            <w:pPr>
              <w:spacing w:after="0" w:line="240" w:lineRule="auto"/>
              <w:jc w:val="center"/>
              <w:rPr>
                <w:rFonts w:ascii="Times New Roman" w:eastAsia="Calibri" w:hAnsi="Times New Roman"/>
              </w:rPr>
            </w:pPr>
            <w:r w:rsidRPr="004D2F70">
              <w:rPr>
                <w:rFonts w:ascii="Times New Roman" w:eastAsia="Calibri" w:hAnsi="Times New Roman"/>
              </w:rPr>
              <w:t>пор.</w:t>
            </w:r>
          </w:p>
        </w:tc>
        <w:tc>
          <w:tcPr>
            <w:tcW w:w="850" w:type="dxa"/>
            <w:tcBorders>
              <w:top w:val="single" w:sz="4" w:space="0" w:color="000000"/>
              <w:left w:val="single" w:sz="4" w:space="0" w:color="000000"/>
              <w:bottom w:val="single" w:sz="4" w:space="0" w:color="000000"/>
              <w:right w:val="single" w:sz="4" w:space="0" w:color="000000"/>
            </w:tcBorders>
          </w:tcPr>
          <w:p w:rsidR="004621EB" w:rsidRPr="004D2F70" w:rsidRDefault="004621EB" w:rsidP="001240B8">
            <w:pPr>
              <w:spacing w:after="0" w:line="240" w:lineRule="auto"/>
              <w:jc w:val="center"/>
              <w:rPr>
                <w:rFonts w:ascii="Times New Roman" w:eastAsia="Calibri" w:hAnsi="Times New Roman"/>
                <w:lang w:val="en-US"/>
              </w:rPr>
            </w:pPr>
            <w:r w:rsidRPr="004D2F70">
              <w:rPr>
                <w:rFonts w:ascii="Times New Roman" w:eastAsia="Calibri" w:hAnsi="Times New Roman"/>
              </w:rPr>
              <w:t>5</w:t>
            </w:r>
            <w:r w:rsidRPr="004D2F70">
              <w:rPr>
                <w:rFonts w:ascii="Times New Roman" w:eastAsia="Calibri" w:hAnsi="Times New Roman"/>
                <w:lang w:val="en-US"/>
              </w:rPr>
              <w:t>00</w:t>
            </w:r>
          </w:p>
        </w:tc>
      </w:tr>
    </w:tbl>
    <w:p w:rsidR="004621EB" w:rsidRPr="004D2F70" w:rsidRDefault="004621EB" w:rsidP="004621EB">
      <w:pPr>
        <w:jc w:val="center"/>
        <w:rPr>
          <w:rFonts w:ascii="Times New Roman" w:hAnsi="Times New Roman"/>
          <w:i/>
          <w:color w:val="000000"/>
          <w:lang w:eastAsia="uk-UA"/>
        </w:rPr>
      </w:pPr>
    </w:p>
    <w:p w:rsidR="004621EB" w:rsidRPr="004D2F70" w:rsidRDefault="004621EB" w:rsidP="004621EB">
      <w:pPr>
        <w:widowControl w:val="0"/>
        <w:suppressAutoHyphens/>
        <w:autoSpaceDE w:val="0"/>
        <w:spacing w:after="0" w:line="240" w:lineRule="auto"/>
        <w:ind w:firstLine="708"/>
        <w:jc w:val="both"/>
        <w:rPr>
          <w:rFonts w:ascii="Times New Roman" w:hAnsi="Times New Roman"/>
          <w:bCs/>
          <w:color w:val="000000"/>
          <w:lang w:eastAsia="zh-CN"/>
        </w:rPr>
      </w:pPr>
      <w:r w:rsidRPr="004D2F70">
        <w:rPr>
          <w:rFonts w:ascii="Times New Roman" w:hAnsi="Times New Roman"/>
          <w:bCs/>
          <w:color w:val="000000"/>
          <w:lang w:eastAsia="zh-CN"/>
        </w:rPr>
        <w:t xml:space="preserve">*Еквівалентом (аналогом лікарського засобу в розумінні даної тендерної документації є лікарський засіб, в якому якість, діюча речовина препарату (міжнародна непатентована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w:t>
      </w:r>
    </w:p>
    <w:p w:rsidR="004621EB" w:rsidRPr="004D2F70" w:rsidRDefault="004621EB" w:rsidP="004621EB">
      <w:pPr>
        <w:widowControl w:val="0"/>
        <w:suppressAutoHyphens/>
        <w:autoSpaceDE w:val="0"/>
        <w:spacing w:after="0" w:line="240" w:lineRule="auto"/>
        <w:ind w:firstLine="708"/>
        <w:jc w:val="both"/>
        <w:rPr>
          <w:rFonts w:ascii="Times New Roman" w:hAnsi="Times New Roman"/>
          <w:bCs/>
          <w:color w:val="000000"/>
          <w:lang w:eastAsia="zh-CN"/>
        </w:rPr>
      </w:pPr>
      <w:r w:rsidRPr="004D2F70">
        <w:rPr>
          <w:rFonts w:ascii="Times New Roman" w:hAnsi="Times New Roman"/>
          <w:bCs/>
          <w:color w:val="000000"/>
          <w:lang w:eastAsia="zh-CN"/>
        </w:rPr>
        <w:t>Стандартні характеристики еквіваленту товару, на який відбувається заміна, повинні відповідати вимогам діючих стандартів щодо даних товарів.</w:t>
      </w:r>
    </w:p>
    <w:p w:rsidR="004621EB" w:rsidRPr="004D2F70" w:rsidRDefault="004621EB" w:rsidP="004621EB">
      <w:pPr>
        <w:widowControl w:val="0"/>
        <w:suppressAutoHyphens/>
        <w:autoSpaceDE w:val="0"/>
        <w:spacing w:after="0" w:line="240" w:lineRule="auto"/>
        <w:ind w:firstLine="708"/>
        <w:jc w:val="both"/>
        <w:rPr>
          <w:rFonts w:ascii="Times New Roman" w:hAnsi="Times New Roman"/>
          <w:bCs/>
          <w:color w:val="000000"/>
          <w:lang w:eastAsia="zh-CN"/>
        </w:rPr>
      </w:pPr>
      <w:r w:rsidRPr="004D2F70">
        <w:rPr>
          <w:rFonts w:ascii="Times New Roman" w:hAnsi="Times New Roman"/>
          <w:bCs/>
          <w:color w:val="000000"/>
          <w:lang w:eastAsia="zh-CN"/>
        </w:rPr>
        <w:t>В разі подачі еквіваленту товару, що запропонований Замовником в технічних вимогах, учасник подає додатково до Додатку 3 порівняльну характеристику (в довільній формі) запропонованого ним товару та товару, що визначений в технічних вимогах з відомостями щодо відповідності вимогам Замовника.</w:t>
      </w:r>
    </w:p>
    <w:p w:rsidR="004621EB" w:rsidRPr="004D2F70" w:rsidRDefault="004621EB" w:rsidP="004621EB">
      <w:pPr>
        <w:widowControl w:val="0"/>
        <w:suppressAutoHyphens/>
        <w:autoSpaceDE w:val="0"/>
        <w:spacing w:after="0" w:line="240" w:lineRule="auto"/>
        <w:jc w:val="both"/>
        <w:rPr>
          <w:rFonts w:ascii="Times New Roman" w:hAnsi="Times New Roman"/>
          <w:bCs/>
          <w:color w:val="000000"/>
          <w:lang w:eastAsia="zh-CN"/>
        </w:rPr>
      </w:pPr>
      <w:r w:rsidRPr="004D2F70">
        <w:rPr>
          <w:rFonts w:ascii="Times New Roman" w:hAnsi="Times New Roman"/>
          <w:bCs/>
          <w:color w:val="000000"/>
          <w:lang w:eastAsia="zh-CN"/>
        </w:rPr>
        <w:tab/>
      </w:r>
    </w:p>
    <w:p w:rsidR="004621EB" w:rsidRPr="004D2F70" w:rsidRDefault="004621EB" w:rsidP="004621EB">
      <w:pPr>
        <w:widowControl w:val="0"/>
        <w:suppressAutoHyphens/>
        <w:autoSpaceDE w:val="0"/>
        <w:spacing w:after="0" w:line="240" w:lineRule="auto"/>
        <w:jc w:val="both"/>
        <w:rPr>
          <w:rFonts w:ascii="Times New Roman" w:hAnsi="Times New Roman"/>
          <w:bCs/>
          <w:color w:val="000000"/>
          <w:lang w:eastAsia="zh-CN"/>
        </w:rPr>
      </w:pPr>
      <w:r w:rsidRPr="004D2F70">
        <w:rPr>
          <w:rFonts w:ascii="Times New Roman" w:hAnsi="Times New Roman"/>
          <w:bCs/>
          <w:color w:val="000000"/>
          <w:lang w:eastAsia="zh-CN"/>
        </w:rPr>
        <w:t>Запропонований учасником товар повинен відповідати таким вимогам:</w:t>
      </w:r>
    </w:p>
    <w:p w:rsidR="004621EB" w:rsidRPr="004D2F70" w:rsidRDefault="004621EB" w:rsidP="004621EB">
      <w:pPr>
        <w:widowControl w:val="0"/>
        <w:numPr>
          <w:ilvl w:val="0"/>
          <w:numId w:val="1"/>
        </w:numPr>
        <w:suppressAutoHyphens/>
        <w:autoSpaceDE w:val="0"/>
        <w:spacing w:after="0" w:line="240" w:lineRule="auto"/>
        <w:jc w:val="both"/>
        <w:rPr>
          <w:rFonts w:ascii="Times New Roman" w:hAnsi="Times New Roman"/>
          <w:bCs/>
          <w:color w:val="000000"/>
          <w:lang w:eastAsia="zh-CN"/>
        </w:rPr>
      </w:pPr>
      <w:r w:rsidRPr="004D2F70">
        <w:rPr>
          <w:rFonts w:ascii="Times New Roman" w:hAnsi="Times New Roman"/>
          <w:bCs/>
          <w:color w:val="000000"/>
          <w:lang w:eastAsia="zh-CN"/>
        </w:rPr>
        <w:t>Термін придатності товару (лікарських засобів), що постачається за договором про закупівлю, має становити не менше 55% строку придатності, визначеного виробником (надати гарантійний лист).</w:t>
      </w:r>
    </w:p>
    <w:p w:rsidR="004621EB" w:rsidRPr="004D2F70" w:rsidRDefault="004621EB" w:rsidP="004621EB">
      <w:pPr>
        <w:widowControl w:val="0"/>
        <w:numPr>
          <w:ilvl w:val="0"/>
          <w:numId w:val="1"/>
        </w:numPr>
        <w:suppressAutoHyphens/>
        <w:autoSpaceDE w:val="0"/>
        <w:spacing w:after="0" w:line="240" w:lineRule="auto"/>
        <w:jc w:val="both"/>
        <w:rPr>
          <w:rFonts w:ascii="Times New Roman" w:hAnsi="Times New Roman"/>
          <w:bCs/>
          <w:color w:val="000000"/>
          <w:lang w:eastAsia="zh-CN"/>
        </w:rPr>
      </w:pPr>
      <w:r w:rsidRPr="004D2F70">
        <w:rPr>
          <w:rFonts w:ascii="Times New Roman" w:hAnsi="Times New Roman"/>
          <w:bCs/>
          <w:color w:val="000000"/>
          <w:lang w:eastAsia="zh-CN"/>
        </w:rPr>
        <w:t xml:space="preserve">Товари, які закуповуються, повинні бути сертифіковані та зареєстровані в Україні, мати свідоцтво про Державну реєстрацію Міністерства охорони здоров’я України та повинні </w:t>
      </w:r>
      <w:r w:rsidRPr="004D2F70">
        <w:rPr>
          <w:rFonts w:ascii="Times New Roman" w:hAnsi="Times New Roman"/>
          <w:bCs/>
          <w:color w:val="000000"/>
          <w:lang w:eastAsia="zh-CN"/>
        </w:rPr>
        <w:lastRenderedPageBreak/>
        <w:t>входити в Державний реєстр ЛЗ (копії відповідних документів надаються при поставці) (надати гарантійний лист).</w:t>
      </w:r>
      <w:r w:rsidRPr="004D2F70">
        <w:rPr>
          <w:rFonts w:ascii="Times New Roman" w:hAnsi="Times New Roman"/>
          <w:color w:val="000000"/>
        </w:rPr>
        <w:t xml:space="preserve"> </w:t>
      </w:r>
      <w:r w:rsidRPr="004D2F70">
        <w:rPr>
          <w:rFonts w:ascii="Times New Roman" w:hAnsi="Times New Roman"/>
          <w:bCs/>
          <w:color w:val="000000"/>
          <w:lang w:eastAsia="zh-CN"/>
        </w:rPr>
        <w:t xml:space="preserve">Товар, що пропонується Учасником повинен бути включеним до переліку лікарських засобів вітчизняного та іноземного виробництва, які можуть закуповувати заклади та установи охорони здоров’я, що повністю або частково фінансуються з державного та місцевих бюджетів, затвердженого Постановою Кабінету Міністрів України від 25 березня 2009р. №333 «Деякі питання державного регулювання цін на лікарняні засоби і вироби медичного призначення» (зі змінами) (надати гарантійний лист).  </w:t>
      </w:r>
    </w:p>
    <w:p w:rsidR="004621EB" w:rsidRPr="004D2F70" w:rsidRDefault="004621EB" w:rsidP="004621EB">
      <w:pPr>
        <w:widowControl w:val="0"/>
        <w:numPr>
          <w:ilvl w:val="0"/>
          <w:numId w:val="1"/>
        </w:numPr>
        <w:suppressAutoHyphens/>
        <w:autoSpaceDE w:val="0"/>
        <w:spacing w:after="0" w:line="240" w:lineRule="auto"/>
        <w:jc w:val="both"/>
        <w:rPr>
          <w:rFonts w:ascii="Times New Roman" w:hAnsi="Times New Roman"/>
          <w:bCs/>
          <w:lang w:eastAsia="zh-CN"/>
        </w:rPr>
      </w:pPr>
      <w:r w:rsidRPr="004D2F70">
        <w:rPr>
          <w:rFonts w:ascii="Times New Roman" w:hAnsi="Times New Roman"/>
          <w:bCs/>
          <w:color w:val="000000"/>
          <w:lang w:eastAsia="zh-CN"/>
        </w:rPr>
        <w:t xml:space="preserve">Всі препарати повинні мати інструкцію з використання препарату, викладену українською мовою та затверджену належним </w:t>
      </w:r>
      <w:r w:rsidRPr="004D2F70">
        <w:rPr>
          <w:rFonts w:ascii="Times New Roman" w:hAnsi="Times New Roman"/>
          <w:bCs/>
          <w:lang w:eastAsia="zh-CN"/>
        </w:rPr>
        <w:t xml:space="preserve">чином </w:t>
      </w:r>
      <w:r w:rsidRPr="004D2F70">
        <w:rPr>
          <w:rFonts w:ascii="Times New Roman" w:hAnsi="Times New Roman"/>
          <w:bCs/>
          <w:color w:val="000000"/>
          <w:lang w:eastAsia="zh-CN"/>
        </w:rPr>
        <w:t>(надати гарантійний лист).</w:t>
      </w:r>
    </w:p>
    <w:p w:rsidR="004621EB" w:rsidRPr="004D2F70" w:rsidRDefault="004621EB" w:rsidP="004621EB">
      <w:pPr>
        <w:widowControl w:val="0"/>
        <w:numPr>
          <w:ilvl w:val="0"/>
          <w:numId w:val="1"/>
        </w:numPr>
        <w:suppressAutoHyphens/>
        <w:autoSpaceDE w:val="0"/>
        <w:spacing w:after="0" w:line="240" w:lineRule="auto"/>
        <w:jc w:val="both"/>
        <w:rPr>
          <w:rFonts w:ascii="Times New Roman" w:hAnsi="Times New Roman"/>
          <w:bCs/>
          <w:color w:val="000000"/>
          <w:lang w:eastAsia="zh-CN"/>
        </w:rPr>
      </w:pPr>
      <w:r w:rsidRPr="004D2F70">
        <w:rPr>
          <w:rFonts w:ascii="Times New Roman" w:hAnsi="Times New Roman"/>
          <w:bCs/>
          <w:lang w:eastAsia="zh-CN"/>
        </w:rPr>
        <w:t>Якість повинна відповідати вимогам діючого законодавства</w:t>
      </w:r>
      <w:r w:rsidRPr="004D2F70">
        <w:rPr>
          <w:rFonts w:ascii="Times New Roman" w:hAnsi="Times New Roman"/>
          <w:bCs/>
          <w:color w:val="000000"/>
          <w:lang w:eastAsia="zh-CN"/>
        </w:rPr>
        <w:t xml:space="preserve"> України (надати гарантійний лист).</w:t>
      </w:r>
    </w:p>
    <w:p w:rsidR="004621EB" w:rsidRPr="004D2F70" w:rsidRDefault="004621EB" w:rsidP="004621EB">
      <w:pPr>
        <w:widowControl w:val="0"/>
        <w:numPr>
          <w:ilvl w:val="0"/>
          <w:numId w:val="1"/>
        </w:numPr>
        <w:suppressAutoHyphens/>
        <w:autoSpaceDE w:val="0"/>
        <w:spacing w:after="0" w:line="240" w:lineRule="auto"/>
        <w:jc w:val="both"/>
        <w:rPr>
          <w:rFonts w:ascii="Times New Roman" w:hAnsi="Times New Roman"/>
          <w:bCs/>
          <w:color w:val="000000"/>
          <w:lang w:eastAsia="zh-CN"/>
        </w:rPr>
      </w:pPr>
      <w:r w:rsidRPr="004D2F70">
        <w:rPr>
          <w:rFonts w:ascii="Times New Roman" w:hAnsi="Times New Roman"/>
          <w:bCs/>
          <w:color w:val="000000"/>
          <w:lang w:eastAsia="zh-CN"/>
        </w:rPr>
        <w:t>Доставка товару транспортом постачальника, завантажувальні та розвантажувальні роботи за рахунок постачальника (надати гарантійний лист).</w:t>
      </w:r>
    </w:p>
    <w:p w:rsidR="004621EB" w:rsidRPr="004D2F70" w:rsidRDefault="004621EB" w:rsidP="004621EB">
      <w:pPr>
        <w:widowControl w:val="0"/>
        <w:numPr>
          <w:ilvl w:val="0"/>
          <w:numId w:val="1"/>
        </w:numPr>
        <w:suppressAutoHyphens/>
        <w:autoSpaceDE w:val="0"/>
        <w:spacing w:after="0" w:line="240" w:lineRule="auto"/>
        <w:jc w:val="both"/>
        <w:rPr>
          <w:rFonts w:ascii="Times New Roman" w:hAnsi="Times New Roman"/>
          <w:bCs/>
          <w:color w:val="000000"/>
          <w:lang w:eastAsia="zh-CN"/>
        </w:rPr>
      </w:pPr>
      <w:r w:rsidRPr="004D2F70">
        <w:rPr>
          <w:rFonts w:ascii="Times New Roman" w:hAnsi="Times New Roman"/>
          <w:bCs/>
          <w:color w:val="000000"/>
          <w:lang w:eastAsia="zh-CN"/>
        </w:rPr>
        <w:t>Транспортування ЛЗ має відбуватися з дотриманням температурних режимів та відповідних умов згідно вимог зберігання даних засобів (надати гарантійний лист).</w:t>
      </w:r>
    </w:p>
    <w:p w:rsidR="004621EB" w:rsidRPr="004D2F70" w:rsidRDefault="004621EB" w:rsidP="004621EB">
      <w:pPr>
        <w:widowControl w:val="0"/>
        <w:numPr>
          <w:ilvl w:val="0"/>
          <w:numId w:val="1"/>
        </w:numPr>
        <w:suppressAutoHyphens/>
        <w:autoSpaceDE w:val="0"/>
        <w:spacing w:after="0" w:line="240" w:lineRule="auto"/>
        <w:jc w:val="both"/>
        <w:rPr>
          <w:rFonts w:ascii="Times New Roman" w:hAnsi="Times New Roman"/>
          <w:bCs/>
          <w:color w:val="000000"/>
          <w:lang w:eastAsia="zh-CN"/>
        </w:rPr>
      </w:pPr>
      <w:r w:rsidRPr="004D2F70">
        <w:rPr>
          <w:rFonts w:ascii="Times New Roman" w:hAnsi="Times New Roman"/>
          <w:bCs/>
          <w:color w:val="000000"/>
          <w:lang w:eastAsia="zh-CN"/>
        </w:rPr>
        <w:t>У разі поставки неякісного товару або не відповідного товару, такий товар повертається Учаснику (постачальнику) або підлягає обміну за рахунок Учасника  (постачальника) (надати гарантійний лист).</w:t>
      </w:r>
    </w:p>
    <w:p w:rsidR="004621EB" w:rsidRPr="004D2F70" w:rsidRDefault="004621EB" w:rsidP="004621EB">
      <w:pPr>
        <w:widowControl w:val="0"/>
        <w:numPr>
          <w:ilvl w:val="0"/>
          <w:numId w:val="1"/>
        </w:numPr>
        <w:suppressAutoHyphens/>
        <w:autoSpaceDE w:val="0"/>
        <w:spacing w:after="0" w:line="240" w:lineRule="auto"/>
        <w:jc w:val="both"/>
        <w:rPr>
          <w:rFonts w:ascii="Times New Roman" w:hAnsi="Times New Roman"/>
          <w:color w:val="000000"/>
        </w:rPr>
      </w:pPr>
      <w:r w:rsidRPr="004D2F70">
        <w:rPr>
          <w:rFonts w:ascii="Times New Roman" w:hAnsi="Times New Roman"/>
          <w:color w:val="000000"/>
          <w:lang w:eastAsia="zh-CN"/>
        </w:rPr>
        <w:t xml:space="preserve">Учасник при поставці товару передбачає необхідні заходи із захисту довкілля: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w:t>
      </w:r>
      <w:r w:rsidRPr="004D2F70">
        <w:rPr>
          <w:rFonts w:ascii="Times New Roman" w:hAnsi="Times New Roman"/>
          <w:bCs/>
          <w:color w:val="000000"/>
          <w:lang w:eastAsia="zh-CN"/>
        </w:rPr>
        <w:t>(надати гарантійний лист).</w:t>
      </w:r>
    </w:p>
    <w:p w:rsidR="004621EB" w:rsidRPr="004621EB" w:rsidRDefault="004621EB" w:rsidP="004621EB">
      <w:pPr>
        <w:widowControl w:val="0"/>
        <w:numPr>
          <w:ilvl w:val="0"/>
          <w:numId w:val="1"/>
        </w:numPr>
        <w:suppressAutoHyphens/>
        <w:autoSpaceDE w:val="0"/>
        <w:spacing w:after="0" w:line="240" w:lineRule="auto"/>
        <w:jc w:val="both"/>
        <w:rPr>
          <w:rFonts w:ascii="Times New Roman" w:hAnsi="Times New Roman"/>
          <w:bCs/>
          <w:color w:val="000000"/>
          <w:lang w:eastAsia="zh-CN"/>
        </w:rPr>
      </w:pPr>
      <w:r w:rsidRPr="004D2F70">
        <w:rPr>
          <w:rFonts w:ascii="Times New Roman" w:hAnsi="Times New Roman"/>
          <w:color w:val="000000"/>
        </w:rPr>
        <w:t xml:space="preserve">Спроможність учасника поставити товар повинна підтверджуватись оригіналами листів авторизації від виробника (у разі якщо товар не виробляється на території України, листом авторизації від представника товаровиробника в Україні)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та номером оголошення, що оприлюднене в електронній системі публічних закупівель </w:t>
      </w:r>
      <w:proofErr w:type="spellStart"/>
      <w:r w:rsidRPr="004D2F70">
        <w:rPr>
          <w:rFonts w:ascii="Times New Roman" w:hAnsi="Times New Roman"/>
          <w:color w:val="000000"/>
        </w:rPr>
        <w:t>ProZorro</w:t>
      </w:r>
      <w:proofErr w:type="spellEnd"/>
      <w:r w:rsidRPr="004D2F70">
        <w:rPr>
          <w:rFonts w:ascii="Times New Roman" w:hAnsi="Times New Roman"/>
          <w:color w:val="000000"/>
        </w:rPr>
        <w:t xml:space="preserve">. </w:t>
      </w:r>
    </w:p>
    <w:p w:rsidR="004621EB" w:rsidRPr="004D2F70" w:rsidRDefault="004621EB" w:rsidP="004621EB">
      <w:pPr>
        <w:widowControl w:val="0"/>
        <w:suppressAutoHyphens/>
        <w:autoSpaceDE w:val="0"/>
        <w:spacing w:after="0" w:line="240" w:lineRule="auto"/>
        <w:jc w:val="both"/>
        <w:rPr>
          <w:rFonts w:ascii="Times New Roman" w:hAnsi="Times New Roman"/>
          <w:bCs/>
          <w:color w:val="000000"/>
          <w:lang w:eastAsia="zh-CN"/>
        </w:rPr>
      </w:pPr>
    </w:p>
    <w:p w:rsidR="004621EB" w:rsidRPr="004621EB" w:rsidRDefault="004621EB" w:rsidP="004621EB">
      <w:pPr>
        <w:ind w:left="360"/>
        <w:rPr>
          <w:rFonts w:ascii="Times New Roman" w:hAnsi="Times New Roman" w:cs="Times New Roman"/>
          <w:sz w:val="16"/>
          <w:szCs w:val="16"/>
        </w:rPr>
      </w:pPr>
      <w:r w:rsidRPr="004621EB">
        <w:rPr>
          <w:rFonts w:ascii="Times New Roman" w:hAnsi="Times New Roman" w:cs="Times New Roman"/>
          <w:color w:val="333333"/>
          <w:sz w:val="16"/>
          <w:szCs w:val="16"/>
          <w:shd w:val="clear" w:color="auto" w:fill="FFFFFF"/>
        </w:rPr>
        <w:t xml:space="preserve">Відповідно до положень пункту 41 Постанови Кабінету Міністрів України «Про ефективне використання державних коштів» від 11 жовтня 2016 р. № 710 (в редакції постанови Кабінету Міністрів України від 16 грудня 2020 р. № 1266) передбачений обов’язок головних розпорядників бюджетних коштів (розпорядників бюджетних коштів нижчого рівня), суб’єктів господарювання державного сектору економіки з метою прозорого, ефективного та раціонального використання коштів забезпечити: оприлюднення обґрунтування технічних та якісних характеристик предмета закупівлі, розміру бюджетного призначення, очікуваної вартості предмета закупівлі шляхом розміщення на власному </w:t>
      </w:r>
      <w:proofErr w:type="spellStart"/>
      <w:r w:rsidRPr="004621EB">
        <w:rPr>
          <w:rFonts w:ascii="Times New Roman" w:hAnsi="Times New Roman" w:cs="Times New Roman"/>
          <w:color w:val="333333"/>
          <w:sz w:val="16"/>
          <w:szCs w:val="16"/>
          <w:shd w:val="clear" w:color="auto" w:fill="FFFFFF"/>
        </w:rPr>
        <w:t>веб-сайті</w:t>
      </w:r>
      <w:proofErr w:type="spellEnd"/>
      <w:r w:rsidRPr="004621EB">
        <w:rPr>
          <w:rFonts w:ascii="Times New Roman" w:hAnsi="Times New Roman" w:cs="Times New Roman"/>
          <w:color w:val="333333"/>
          <w:sz w:val="16"/>
          <w:szCs w:val="16"/>
          <w:shd w:val="clear" w:color="auto" w:fill="FFFFFF"/>
        </w:rPr>
        <w:t xml:space="preserve"> (або на офіційному </w:t>
      </w:r>
      <w:proofErr w:type="spellStart"/>
      <w:r w:rsidRPr="004621EB">
        <w:rPr>
          <w:rFonts w:ascii="Times New Roman" w:hAnsi="Times New Roman" w:cs="Times New Roman"/>
          <w:color w:val="333333"/>
          <w:sz w:val="16"/>
          <w:szCs w:val="16"/>
          <w:shd w:val="clear" w:color="auto" w:fill="FFFFFF"/>
        </w:rPr>
        <w:t>веб-сайті</w:t>
      </w:r>
      <w:proofErr w:type="spellEnd"/>
      <w:r w:rsidRPr="004621EB">
        <w:rPr>
          <w:rFonts w:ascii="Times New Roman" w:hAnsi="Times New Roman" w:cs="Times New Roman"/>
          <w:color w:val="333333"/>
          <w:sz w:val="16"/>
          <w:szCs w:val="16"/>
          <w:shd w:val="clear" w:color="auto" w:fill="FFFFFF"/>
        </w:rPr>
        <w:t xml:space="preserve"> головного розпорядника бюджетних коштів, суб’єкта управління об’єктами державної власності, що здійснює функції з управління суб’єктом господарювання державного сектору економіки) протягом п’яти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w:t>
      </w:r>
    </w:p>
    <w:p w:rsidR="004621EB" w:rsidRPr="004621EB" w:rsidRDefault="004621EB" w:rsidP="004621EB">
      <w:pPr>
        <w:ind w:left="360"/>
        <w:rPr>
          <w:rFonts w:ascii="Times New Roman" w:hAnsi="Times New Roman" w:cs="Times New Roman"/>
          <w:sz w:val="16"/>
          <w:szCs w:val="16"/>
        </w:rPr>
      </w:pPr>
      <w:r w:rsidRPr="004621EB">
        <w:rPr>
          <w:rFonts w:ascii="Times New Roman" w:hAnsi="Times New Roman" w:cs="Times New Roman"/>
          <w:color w:val="333333"/>
          <w:sz w:val="16"/>
          <w:szCs w:val="16"/>
          <w:shd w:val="clear" w:color="auto" w:fill="FFFFFF"/>
        </w:rPr>
        <w:t>очікувана вартість та обсяг закупівлі Замовником формувались відповідно до Річної потреби закладу ( зведеної) , затвердженої генеральним директором та виходячи з річної потреби по відділеннях закладу; Примірної методики</w:t>
      </w:r>
      <w:r w:rsidRPr="004621EB">
        <w:rPr>
          <w:rStyle w:val="h-hidden"/>
          <w:rFonts w:ascii="Times New Roman" w:hAnsi="Times New Roman" w:cs="Times New Roman"/>
          <w:color w:val="333333"/>
          <w:sz w:val="16"/>
          <w:szCs w:val="16"/>
          <w:bdr w:val="none" w:sz="0" w:space="0" w:color="auto" w:frame="1"/>
          <w:shd w:val="clear" w:color="auto" w:fill="FFFFFF"/>
        </w:rPr>
        <w:t xml:space="preserve">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 275 «Про затвердження примірної методики визначення очікуваної вартості предмета закупівлі». У відповідності до пункту 3 Розділу ІІ «Етапи визначення очікуваної вартості» Примірної методики визначення очікуваної вартості предмета закупівлі, Замовником було проведено моніторинг цін, шляхом пошуку, збору та аналізу загальнодоступної інформації щодо ціни товарів, яка міститься у відкритих джерелах (у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w:t>
      </w:r>
      <w:proofErr w:type="spellStart"/>
      <w:r w:rsidRPr="004621EB">
        <w:rPr>
          <w:rStyle w:val="h-hidden"/>
          <w:rFonts w:ascii="Times New Roman" w:hAnsi="Times New Roman" w:cs="Times New Roman"/>
          <w:color w:val="333333"/>
          <w:sz w:val="16"/>
          <w:szCs w:val="16"/>
          <w:bdr w:val="none" w:sz="0" w:space="0" w:color="auto" w:frame="1"/>
          <w:shd w:val="clear" w:color="auto" w:fill="FFFFFF"/>
        </w:rPr>
        <w:t>прайс-листах</w:t>
      </w:r>
      <w:proofErr w:type="spellEnd"/>
      <w:r w:rsidRPr="004621EB">
        <w:rPr>
          <w:rStyle w:val="h-hidden"/>
          <w:rFonts w:ascii="Times New Roman" w:hAnsi="Times New Roman" w:cs="Times New Roman"/>
          <w:color w:val="333333"/>
          <w:sz w:val="16"/>
          <w:szCs w:val="16"/>
          <w:bdr w:val="none" w:sz="0" w:space="0" w:color="auto" w:frame="1"/>
          <w:shd w:val="clear" w:color="auto" w:fill="FFFFFF"/>
        </w:rPr>
        <w:t>, в електронній системі закупівель "</w:t>
      </w:r>
      <w:proofErr w:type="spellStart"/>
      <w:r w:rsidRPr="004621EB">
        <w:rPr>
          <w:rStyle w:val="h-hidden"/>
          <w:rFonts w:ascii="Times New Roman" w:hAnsi="Times New Roman" w:cs="Times New Roman"/>
          <w:color w:val="333333"/>
          <w:sz w:val="16"/>
          <w:szCs w:val="16"/>
          <w:bdr w:val="none" w:sz="0" w:space="0" w:color="auto" w:frame="1"/>
          <w:shd w:val="clear" w:color="auto" w:fill="FFFFFF"/>
        </w:rPr>
        <w:t>Prozorro</w:t>
      </w:r>
      <w:proofErr w:type="spellEnd"/>
      <w:r w:rsidRPr="004621EB">
        <w:rPr>
          <w:rStyle w:val="h-hidden"/>
          <w:rFonts w:ascii="Times New Roman" w:hAnsi="Times New Roman" w:cs="Times New Roman"/>
          <w:color w:val="333333"/>
          <w:sz w:val="16"/>
          <w:szCs w:val="16"/>
          <w:bdr w:val="none" w:sz="0" w:space="0" w:color="auto" w:frame="1"/>
          <w:shd w:val="clear" w:color="auto" w:fill="FFFFFF"/>
        </w:rPr>
        <w:t>" ),а також до уваги взято ціни на товари , які є предметом закупівлі 202</w:t>
      </w:r>
      <w:r>
        <w:rPr>
          <w:rStyle w:val="h-hidden"/>
          <w:rFonts w:ascii="Times New Roman" w:hAnsi="Times New Roman" w:cs="Times New Roman"/>
          <w:color w:val="333333"/>
          <w:sz w:val="16"/>
          <w:szCs w:val="16"/>
          <w:bdr w:val="none" w:sz="0" w:space="0" w:color="auto" w:frame="1"/>
          <w:shd w:val="clear" w:color="auto" w:fill="FFFFFF"/>
        </w:rPr>
        <w:t>4</w:t>
      </w:r>
      <w:r w:rsidRPr="004621EB">
        <w:rPr>
          <w:rStyle w:val="h-hidden"/>
          <w:rFonts w:ascii="Times New Roman" w:hAnsi="Times New Roman" w:cs="Times New Roman"/>
          <w:color w:val="333333"/>
          <w:sz w:val="16"/>
          <w:szCs w:val="16"/>
          <w:bdr w:val="none" w:sz="0" w:space="0" w:color="auto" w:frame="1"/>
          <w:shd w:val="clear" w:color="auto" w:fill="FFFFFF"/>
        </w:rPr>
        <w:t xml:space="preserve"> року . Розмір очікуваної вартості був визначений відповідно до Наказу Міністерства розвитку економіки, торгівлі та сільського господарства від 18.02.2020 № 275 «Про затвердження примірної методики визначення очікуваної вартості предмета закупівлі»,шляхом аналізу ринку через використання загальнодоступної інформації. Таким чином, очікувану вартість послуг визначено на підставі закупівельних цін попередніх закупівель на аналогічні товари через систему закупівель "</w:t>
      </w:r>
      <w:proofErr w:type="spellStart"/>
      <w:r w:rsidRPr="004621EB">
        <w:rPr>
          <w:rStyle w:val="h-hidden"/>
          <w:rFonts w:ascii="Times New Roman" w:hAnsi="Times New Roman" w:cs="Times New Roman"/>
          <w:color w:val="333333"/>
          <w:sz w:val="16"/>
          <w:szCs w:val="16"/>
          <w:bdr w:val="none" w:sz="0" w:space="0" w:color="auto" w:frame="1"/>
          <w:shd w:val="clear" w:color="auto" w:fill="FFFFFF"/>
        </w:rPr>
        <w:t>Prozorro</w:t>
      </w:r>
      <w:proofErr w:type="spellEnd"/>
      <w:r w:rsidRPr="004621EB">
        <w:rPr>
          <w:rStyle w:val="h-hidden"/>
          <w:rFonts w:ascii="Times New Roman" w:hAnsi="Times New Roman" w:cs="Times New Roman"/>
          <w:color w:val="333333"/>
          <w:sz w:val="16"/>
          <w:szCs w:val="16"/>
          <w:bdr w:val="none" w:sz="0" w:space="0" w:color="auto" w:frame="1"/>
          <w:shd w:val="clear" w:color="auto" w:fill="FFFFFF"/>
        </w:rPr>
        <w:t>": та відповідно до закупівельної ціни минулих періодів – укладених договорів та інших організаторів закупівель , як вже виконаних ,так і діючих , з врахуванням індексу інфляції .</w:t>
      </w:r>
    </w:p>
    <w:p w:rsidR="006B5D6B" w:rsidRDefault="006B5D6B" w:rsidP="006B5D6B">
      <w:pPr>
        <w:autoSpaceDE w:val="0"/>
        <w:autoSpaceDN w:val="0"/>
        <w:jc w:val="both"/>
        <w:rPr>
          <w:rFonts w:ascii="Times New Roman" w:hAnsi="Times New Roman"/>
          <w:bCs/>
        </w:rPr>
      </w:pPr>
    </w:p>
    <w:p w:rsidR="006B5D6B" w:rsidRDefault="006B5D6B" w:rsidP="006B5D6B">
      <w:pPr>
        <w:shd w:val="clear" w:color="auto" w:fill="FFFFFF"/>
        <w:spacing w:before="100" w:beforeAutospacing="1" w:after="100" w:afterAutospacing="1" w:line="240" w:lineRule="auto"/>
        <w:rPr>
          <w:rFonts w:ascii="Times New Roman" w:eastAsia="Times New Roman" w:hAnsi="Times New Roman" w:cs="Times New Roman"/>
          <w:color w:val="0E1D2F"/>
          <w:sz w:val="20"/>
          <w:szCs w:val="20"/>
          <w:lang w:eastAsia="uk-UA"/>
        </w:rPr>
      </w:pPr>
    </w:p>
    <w:p w:rsidR="006B5D6B" w:rsidRPr="004621EB" w:rsidRDefault="006B5D6B" w:rsidP="006B5D6B">
      <w:pPr>
        <w:shd w:val="clear" w:color="auto" w:fill="FFFFFF"/>
        <w:spacing w:before="100" w:beforeAutospacing="1" w:after="100" w:afterAutospacing="1" w:line="240" w:lineRule="auto"/>
        <w:rPr>
          <w:rFonts w:ascii="Times New Roman" w:eastAsia="Times New Roman" w:hAnsi="Times New Roman" w:cs="Times New Roman"/>
          <w:color w:val="01011B"/>
          <w:sz w:val="18"/>
          <w:szCs w:val="18"/>
          <w:lang w:eastAsia="uk-UA"/>
        </w:rPr>
      </w:pPr>
      <w:r w:rsidRPr="004621EB">
        <w:rPr>
          <w:rFonts w:ascii="Times New Roman" w:eastAsia="Times New Roman" w:hAnsi="Times New Roman" w:cs="Times New Roman"/>
          <w:color w:val="0E1D2F"/>
          <w:sz w:val="18"/>
          <w:szCs w:val="18"/>
          <w:lang w:eastAsia="uk-UA"/>
        </w:rPr>
        <w:t xml:space="preserve">Обґрунтування очікуваної ціни закупівлі/бюджетного призначення. Очікувана вартість обрахована відповідно до </w:t>
      </w:r>
      <w:proofErr w:type="spellStart"/>
      <w:r w:rsidRPr="004621EB">
        <w:rPr>
          <w:rFonts w:ascii="Times New Roman" w:eastAsia="Times New Roman" w:hAnsi="Times New Roman" w:cs="Times New Roman"/>
          <w:color w:val="0E1D2F"/>
          <w:sz w:val="18"/>
          <w:szCs w:val="18"/>
          <w:lang w:eastAsia="uk-UA"/>
        </w:rPr>
        <w:t>середньоринкового</w:t>
      </w:r>
      <w:proofErr w:type="spellEnd"/>
      <w:r w:rsidRPr="004621EB">
        <w:rPr>
          <w:rFonts w:ascii="Times New Roman" w:eastAsia="Times New Roman" w:hAnsi="Times New Roman" w:cs="Times New Roman"/>
          <w:color w:val="0E1D2F"/>
          <w:sz w:val="18"/>
          <w:szCs w:val="18"/>
          <w:lang w:eastAsia="uk-UA"/>
        </w:rPr>
        <w:t xml:space="preserve"> рівня цін, </w:t>
      </w:r>
      <w:r w:rsidRPr="004621EB">
        <w:rPr>
          <w:rFonts w:ascii="Times New Roman" w:hAnsi="Times New Roman" w:cs="Times New Roman"/>
          <w:color w:val="4D5156"/>
          <w:sz w:val="18"/>
          <w:szCs w:val="18"/>
          <w:shd w:val="clear" w:color="auto" w:fill="FFFFFF"/>
        </w:rPr>
        <w:t>станом на січень 202</w:t>
      </w:r>
      <w:r w:rsidR="004621EB" w:rsidRPr="004621EB">
        <w:rPr>
          <w:rFonts w:ascii="Times New Roman" w:hAnsi="Times New Roman" w:cs="Times New Roman"/>
          <w:color w:val="4D5156"/>
          <w:sz w:val="18"/>
          <w:szCs w:val="18"/>
          <w:shd w:val="clear" w:color="auto" w:fill="FFFFFF"/>
        </w:rPr>
        <w:t xml:space="preserve">4 </w:t>
      </w:r>
      <w:r w:rsidRPr="004621EB">
        <w:rPr>
          <w:rFonts w:ascii="Times New Roman" w:hAnsi="Times New Roman" w:cs="Times New Roman"/>
          <w:color w:val="4D5156"/>
          <w:sz w:val="18"/>
          <w:szCs w:val="18"/>
          <w:shd w:val="clear" w:color="auto" w:fill="FFFFFF"/>
        </w:rPr>
        <w:t>року .</w:t>
      </w:r>
    </w:p>
    <w:p w:rsidR="00CE661E" w:rsidRDefault="00CE661E"/>
    <w:sectPr w:rsidR="00CE661E" w:rsidSect="00CE66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A3D72"/>
    <w:multiLevelType w:val="hybridMultilevel"/>
    <w:tmpl w:val="1C2ADBE0"/>
    <w:lvl w:ilvl="0" w:tplc="8E4800F2">
      <w:start w:val="1"/>
      <w:numFmt w:val="decimal"/>
      <w:lvlText w:val="%1."/>
      <w:lvlJc w:val="left"/>
      <w:pPr>
        <w:ind w:left="720" w:hanging="360"/>
      </w:pPr>
    </w:lvl>
    <w:lvl w:ilvl="1" w:tplc="92066040">
      <w:start w:val="1"/>
      <w:numFmt w:val="decimal"/>
      <w:lvlText w:val="%2."/>
      <w:lvlJc w:val="left"/>
      <w:pPr>
        <w:tabs>
          <w:tab w:val="num" w:pos="1440"/>
        </w:tabs>
        <w:ind w:left="1440" w:hanging="360"/>
      </w:pPr>
    </w:lvl>
    <w:lvl w:ilvl="2" w:tplc="1304BF04">
      <w:start w:val="1"/>
      <w:numFmt w:val="decimal"/>
      <w:lvlText w:val="%3."/>
      <w:lvlJc w:val="left"/>
      <w:pPr>
        <w:tabs>
          <w:tab w:val="num" w:pos="2160"/>
        </w:tabs>
        <w:ind w:left="2160" w:hanging="360"/>
      </w:pPr>
    </w:lvl>
    <w:lvl w:ilvl="3" w:tplc="B2B2EAEA">
      <w:start w:val="1"/>
      <w:numFmt w:val="decimal"/>
      <w:lvlText w:val="%4."/>
      <w:lvlJc w:val="left"/>
      <w:pPr>
        <w:tabs>
          <w:tab w:val="num" w:pos="2880"/>
        </w:tabs>
        <w:ind w:left="2880" w:hanging="360"/>
      </w:pPr>
    </w:lvl>
    <w:lvl w:ilvl="4" w:tplc="9D16EB4C">
      <w:start w:val="1"/>
      <w:numFmt w:val="decimal"/>
      <w:lvlText w:val="%5."/>
      <w:lvlJc w:val="left"/>
      <w:pPr>
        <w:tabs>
          <w:tab w:val="num" w:pos="3600"/>
        </w:tabs>
        <w:ind w:left="3600" w:hanging="360"/>
      </w:pPr>
    </w:lvl>
    <w:lvl w:ilvl="5" w:tplc="86AC1EA8">
      <w:start w:val="1"/>
      <w:numFmt w:val="decimal"/>
      <w:lvlText w:val="%6."/>
      <w:lvlJc w:val="left"/>
      <w:pPr>
        <w:tabs>
          <w:tab w:val="num" w:pos="4320"/>
        </w:tabs>
        <w:ind w:left="4320" w:hanging="360"/>
      </w:pPr>
    </w:lvl>
    <w:lvl w:ilvl="6" w:tplc="74962310">
      <w:start w:val="1"/>
      <w:numFmt w:val="decimal"/>
      <w:lvlText w:val="%7."/>
      <w:lvlJc w:val="left"/>
      <w:pPr>
        <w:tabs>
          <w:tab w:val="num" w:pos="5040"/>
        </w:tabs>
        <w:ind w:left="5040" w:hanging="360"/>
      </w:pPr>
    </w:lvl>
    <w:lvl w:ilvl="7" w:tplc="9E9A10F4">
      <w:start w:val="1"/>
      <w:numFmt w:val="decimal"/>
      <w:lvlText w:val="%8."/>
      <w:lvlJc w:val="left"/>
      <w:pPr>
        <w:tabs>
          <w:tab w:val="num" w:pos="5760"/>
        </w:tabs>
        <w:ind w:left="5760" w:hanging="360"/>
      </w:pPr>
    </w:lvl>
    <w:lvl w:ilvl="8" w:tplc="D91ECD06">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6B5D6B"/>
    <w:rsid w:val="003D1406"/>
    <w:rsid w:val="004621EB"/>
    <w:rsid w:val="005C2E43"/>
    <w:rsid w:val="006B5D6B"/>
    <w:rsid w:val="00B744E0"/>
    <w:rsid w:val="00CE66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D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ітка таблиці1"/>
    <w:basedOn w:val="a1"/>
    <w:uiPriority w:val="39"/>
    <w:rsid w:val="006B5D6B"/>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3">
    <w:name w:val="Emphasis"/>
    <w:basedOn w:val="a0"/>
    <w:uiPriority w:val="20"/>
    <w:qFormat/>
    <w:rsid w:val="006B5D6B"/>
    <w:rPr>
      <w:i/>
      <w:iCs/>
    </w:rPr>
  </w:style>
  <w:style w:type="character" w:customStyle="1" w:styleId="h-hidden">
    <w:name w:val="h-hidden"/>
    <w:basedOn w:val="a0"/>
    <w:rsid w:val="004621EB"/>
  </w:style>
  <w:style w:type="paragraph" w:styleId="a4">
    <w:name w:val="List Paragraph"/>
    <w:basedOn w:val="a"/>
    <w:uiPriority w:val="34"/>
    <w:qFormat/>
    <w:rsid w:val="004621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4942</Words>
  <Characters>2818</Characters>
  <Application>Microsoft Office Word</Application>
  <DocSecurity>0</DocSecurity>
  <Lines>23</Lines>
  <Paragraphs>15</Paragraphs>
  <ScaleCrop>false</ScaleCrop>
  <Company>HP Inc.</Company>
  <LinksUpToDate>false</LinksUpToDate>
  <CharactersWithSpaces>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2023-01-30T07:01:00Z</dcterms:created>
  <dcterms:modified xsi:type="dcterms:W3CDTF">2024-02-16T07:53:00Z</dcterms:modified>
</cp:coreProperties>
</file>