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99" w:rsidRPr="002627DA"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E7999" w:rsidRDefault="003E7999" w:rsidP="003E7999">
      <w:pPr>
        <w:jc w:val="center"/>
        <w:rPr>
          <w:rFonts w:ascii="Times New Roman" w:hAnsi="Times New Roman" w:cs="Times New Roman"/>
          <w:b/>
          <w:sz w:val="28"/>
          <w:szCs w:val="28"/>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 xml:space="preserve">: </w:t>
      </w:r>
      <w:proofErr w:type="spellStart"/>
      <w:r w:rsidRPr="006E655C">
        <w:rPr>
          <w:rFonts w:ascii="Times New Roman" w:hAnsi="Times New Roman" w:cs="Times New Roman"/>
          <w:b/>
          <w:sz w:val="28"/>
          <w:szCs w:val="28"/>
        </w:rPr>
        <w:t>ДК</w:t>
      </w:r>
      <w:proofErr w:type="spellEnd"/>
      <w:r w:rsidRPr="006E655C">
        <w:rPr>
          <w:rFonts w:ascii="Times New Roman" w:hAnsi="Times New Roman" w:cs="Times New Roman"/>
          <w:b/>
          <w:sz w:val="28"/>
          <w:szCs w:val="28"/>
        </w:rPr>
        <w:t xml:space="preserve"> 021:2015: 33600000-6 Фармацевтична продукція</w:t>
      </w:r>
    </w:p>
    <w:p w:rsidR="003E7999" w:rsidRPr="002627DA" w:rsidRDefault="003E7999" w:rsidP="003E7999">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3E7999" w:rsidRPr="002627DA"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Для виконання зазначених завдань/функцій Замовник повинен, зокрема, </w:t>
      </w:r>
      <w:r>
        <w:rPr>
          <w:rFonts w:ascii="Times New Roman" w:eastAsia="Times New Roman" w:hAnsi="Times New Roman" w:cs="Times New Roman"/>
          <w:color w:val="0E1D2F"/>
          <w:sz w:val="20"/>
          <w:szCs w:val="20"/>
          <w:lang w:eastAsia="uk-UA"/>
        </w:rPr>
        <w:t xml:space="preserve">відділення закладу  фармацевтичною продукцією  , для виконання цими  відділеннями своїх </w:t>
      </w:r>
      <w:r w:rsidRPr="002627DA">
        <w:rPr>
          <w:rFonts w:ascii="Times New Roman" w:eastAsia="Times New Roman" w:hAnsi="Times New Roman" w:cs="Times New Roman"/>
          <w:color w:val="0E1D2F"/>
          <w:sz w:val="20"/>
          <w:szCs w:val="20"/>
          <w:lang w:eastAsia="uk-UA"/>
        </w:rPr>
        <w:t xml:space="preserve"> функцій, що можуть знадобитися у процесі </w:t>
      </w:r>
      <w:r>
        <w:rPr>
          <w:rFonts w:ascii="Times New Roman" w:eastAsia="Times New Roman" w:hAnsi="Times New Roman" w:cs="Times New Roman"/>
          <w:color w:val="0E1D2F"/>
          <w:sz w:val="20"/>
          <w:szCs w:val="20"/>
          <w:lang w:eastAsia="uk-UA"/>
        </w:rPr>
        <w:t xml:space="preserve">надання допомоги пацієнтам </w:t>
      </w:r>
      <w:r w:rsidRPr="002627DA">
        <w:rPr>
          <w:rFonts w:ascii="Times New Roman" w:eastAsia="Times New Roman" w:hAnsi="Times New Roman" w:cs="Times New Roman"/>
          <w:color w:val="0E1D2F"/>
          <w:sz w:val="20"/>
          <w:szCs w:val="20"/>
          <w:lang w:eastAsia="uk-UA"/>
        </w:rPr>
        <w:t>.</w:t>
      </w:r>
    </w:p>
    <w:p w:rsidR="003E7999"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Обґрунтування обсягів закупівлі. Обсяги визначено відповідно до очікуваної потреби, обрахованої Замовником на основі фактично</w:t>
      </w:r>
      <w:r>
        <w:rPr>
          <w:rFonts w:ascii="Times New Roman" w:eastAsia="Times New Roman" w:hAnsi="Times New Roman" w:cs="Times New Roman"/>
          <w:color w:val="0E1D2F"/>
          <w:sz w:val="20"/>
          <w:szCs w:val="20"/>
          <w:lang w:eastAsia="uk-UA"/>
        </w:rPr>
        <w:t xml:space="preserve"> поведених досліджень </w:t>
      </w:r>
      <w:r w:rsidRPr="002627DA">
        <w:rPr>
          <w:rFonts w:ascii="Times New Roman" w:eastAsia="Times New Roman" w:hAnsi="Times New Roman" w:cs="Times New Roman"/>
          <w:color w:val="0E1D2F"/>
          <w:sz w:val="20"/>
          <w:szCs w:val="20"/>
          <w:lang w:eastAsia="uk-UA"/>
        </w:rPr>
        <w:t xml:space="preserve"> у попереднь</w:t>
      </w:r>
      <w:r>
        <w:rPr>
          <w:rFonts w:ascii="Times New Roman" w:eastAsia="Times New Roman" w:hAnsi="Times New Roman" w:cs="Times New Roman"/>
          <w:color w:val="0E1D2F"/>
          <w:sz w:val="20"/>
          <w:szCs w:val="20"/>
          <w:lang w:eastAsia="uk-UA"/>
        </w:rPr>
        <w:t>ому році та обсягу фінансування, а також на підставі потреби закладу  , затвердженої генеральним директором.</w:t>
      </w:r>
    </w:p>
    <w:p w:rsidR="003E7999" w:rsidRDefault="003E7999" w:rsidP="003E7999">
      <w:pPr>
        <w:autoSpaceDE w:val="0"/>
        <w:autoSpaceDN w:val="0"/>
        <w:jc w:val="both"/>
        <w:rPr>
          <w:rFonts w:ascii="Times New Roman" w:hAnsi="Times New Roman"/>
          <w:bCs/>
        </w:rPr>
      </w:pPr>
      <w:r w:rsidRPr="00252EE3">
        <w:rPr>
          <w:rFonts w:ascii="Times New Roman" w:hAnsi="Times New Roman"/>
          <w:bCs/>
        </w:rPr>
        <w:t xml:space="preserve">Кількісні характеристики та одиниці виміру(специфікація): </w:t>
      </w:r>
    </w:p>
    <w:p w:rsidR="003E7999" w:rsidRPr="004D2F70" w:rsidRDefault="003E7999" w:rsidP="003E7999">
      <w:pPr>
        <w:jc w:val="center"/>
        <w:rPr>
          <w:rFonts w:ascii="Times New Roman" w:hAnsi="Times New Roman"/>
          <w:b/>
        </w:rPr>
      </w:pPr>
      <w:proofErr w:type="spellStart"/>
      <w:r w:rsidRPr="004D2F70">
        <w:rPr>
          <w:rFonts w:ascii="Times New Roman" w:hAnsi="Times New Roman"/>
          <w:b/>
        </w:rPr>
        <w:t>Медико-технічні</w:t>
      </w:r>
      <w:proofErr w:type="spellEnd"/>
      <w:r w:rsidRPr="004D2F70">
        <w:rPr>
          <w:rFonts w:ascii="Times New Roman" w:hAnsi="Times New Roman"/>
          <w:b/>
        </w:rPr>
        <w:t xml:space="preserve"> вимоги </w:t>
      </w:r>
    </w:p>
    <w:p w:rsidR="00E7465F" w:rsidRPr="00D560FA" w:rsidRDefault="00E7465F" w:rsidP="00E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4"/>
          <w:szCs w:val="24"/>
        </w:rPr>
      </w:pPr>
      <w:r w:rsidRPr="00D560FA">
        <w:rPr>
          <w:rFonts w:ascii="Times New Roman" w:hAnsi="Times New Roman"/>
          <w:b/>
          <w:iCs/>
          <w:color w:val="000000"/>
          <w:sz w:val="24"/>
          <w:szCs w:val="24"/>
        </w:rPr>
        <w:t xml:space="preserve">ТЕХНІЧНА СПЕЦИФІКАЦІЯ </w:t>
      </w:r>
    </w:p>
    <w:p w:rsidR="00E7465F" w:rsidRPr="00D560FA" w:rsidRDefault="00E7465F" w:rsidP="00E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4"/>
          <w:szCs w:val="24"/>
        </w:rPr>
      </w:pPr>
    </w:p>
    <w:p w:rsidR="00E7465F" w:rsidRPr="00F422B5" w:rsidRDefault="00E92245" w:rsidP="00E7465F">
      <w:pPr>
        <w:widowControl w:val="0"/>
        <w:spacing w:after="0"/>
        <w:contextualSpacing/>
        <w:jc w:val="both"/>
        <w:rPr>
          <w:rFonts w:ascii="Times New Roman" w:eastAsia="Calibri" w:hAnsi="Times New Roman"/>
          <w:b/>
        </w:rPr>
      </w:pPr>
      <w:hyperlink r:id="rId5" w:history="1">
        <w:proofErr w:type="spellStart"/>
        <w:r w:rsidR="00E7465F" w:rsidRPr="00D560FA">
          <w:rPr>
            <w:rStyle w:val="a5"/>
            <w:rFonts w:ascii="Times New Roman" w:hAnsi="Times New Roman"/>
            <w:b/>
            <w:bdr w:val="none" w:sz="0" w:space="0" w:color="auto" w:frame="1"/>
            <w:shd w:val="clear" w:color="auto" w:fill="FFFFFF"/>
          </w:rPr>
          <w:t>ДК</w:t>
        </w:r>
        <w:proofErr w:type="spellEnd"/>
        <w:r w:rsidR="00E7465F" w:rsidRPr="00D560FA">
          <w:rPr>
            <w:rStyle w:val="a5"/>
            <w:rFonts w:ascii="Times New Roman" w:hAnsi="Times New Roman"/>
            <w:b/>
            <w:bdr w:val="none" w:sz="0" w:space="0" w:color="auto" w:frame="1"/>
            <w:shd w:val="clear" w:color="auto" w:fill="FFFFFF"/>
          </w:rPr>
          <w:t xml:space="preserve"> 021:2015: 33600000-6 Фармацевтична продукція (</w:t>
        </w:r>
        <w:proofErr w:type="spellStart"/>
        <w:r w:rsidR="00E7465F" w:rsidRPr="00D560FA">
          <w:rPr>
            <w:rStyle w:val="a5"/>
            <w:rFonts w:ascii="Times New Roman" w:hAnsi="Times New Roman"/>
            <w:b/>
            <w:bdr w:val="none" w:sz="0" w:space="0" w:color="auto" w:frame="1"/>
            <w:shd w:val="clear" w:color="auto" w:fill="FFFFFF"/>
          </w:rPr>
          <w:t>Метилергобревін</w:t>
        </w:r>
        <w:proofErr w:type="spellEnd"/>
        <w:r w:rsidR="00E7465F" w:rsidRPr="00D560FA">
          <w:rPr>
            <w:rStyle w:val="a5"/>
            <w:rFonts w:ascii="Times New Roman" w:hAnsi="Times New Roman"/>
            <w:b/>
            <w:bdr w:val="none" w:sz="0" w:space="0" w:color="auto" w:frame="1"/>
            <w:shd w:val="clear" w:color="auto" w:fill="FFFFFF"/>
          </w:rPr>
          <w:t xml:space="preserve"> розчин для ін’єкцій 0,2 мг/</w:t>
        </w:r>
        <w:proofErr w:type="spellStart"/>
        <w:r w:rsidR="00E7465F" w:rsidRPr="00D560FA">
          <w:rPr>
            <w:rStyle w:val="a5"/>
            <w:rFonts w:ascii="Times New Roman" w:hAnsi="Times New Roman"/>
            <w:b/>
            <w:bdr w:val="none" w:sz="0" w:space="0" w:color="auto" w:frame="1"/>
            <w:shd w:val="clear" w:color="auto" w:fill="FFFFFF"/>
          </w:rPr>
          <w:t>мл</w:t>
        </w:r>
        <w:proofErr w:type="spellEnd"/>
        <w:r w:rsidR="00E7465F" w:rsidRPr="00D560FA">
          <w:rPr>
            <w:rStyle w:val="a5"/>
            <w:rFonts w:ascii="Times New Roman" w:hAnsi="Times New Roman"/>
            <w:b/>
            <w:bdr w:val="none" w:sz="0" w:space="0" w:color="auto" w:frame="1"/>
            <w:shd w:val="clear" w:color="auto" w:fill="FFFFFF"/>
          </w:rPr>
          <w:t xml:space="preserve"> по 1 </w:t>
        </w:r>
        <w:proofErr w:type="spellStart"/>
        <w:r w:rsidR="00E7465F" w:rsidRPr="00D560FA">
          <w:rPr>
            <w:rStyle w:val="a5"/>
            <w:rFonts w:ascii="Times New Roman" w:hAnsi="Times New Roman"/>
            <w:b/>
            <w:bdr w:val="none" w:sz="0" w:space="0" w:color="auto" w:frame="1"/>
            <w:shd w:val="clear" w:color="auto" w:fill="FFFFFF"/>
          </w:rPr>
          <w:t>мл</w:t>
        </w:r>
        <w:proofErr w:type="spellEnd"/>
        <w:r w:rsidR="00E7465F" w:rsidRPr="00D560FA">
          <w:rPr>
            <w:rStyle w:val="a5"/>
            <w:rFonts w:ascii="Times New Roman" w:hAnsi="Times New Roman"/>
            <w:b/>
            <w:bdr w:val="none" w:sz="0" w:space="0" w:color="auto" w:frame="1"/>
            <w:shd w:val="clear" w:color="auto" w:fill="FFFFFF"/>
          </w:rPr>
          <w:t xml:space="preserve"> в ампулі №50 (</w:t>
        </w:r>
        <w:proofErr w:type="spellStart"/>
        <w:r w:rsidR="00E7465F" w:rsidRPr="00F422B5">
          <w:rPr>
            <w:rStyle w:val="a5"/>
            <w:rFonts w:ascii="Times New Roman" w:hAnsi="Times New Roman"/>
            <w:b/>
            <w:bdr w:val="none" w:sz="0" w:space="0" w:color="auto" w:frame="1"/>
            <w:shd w:val="clear" w:color="auto" w:fill="FFFFFF"/>
          </w:rPr>
          <w:t>Methylergometrine</w:t>
        </w:r>
        <w:proofErr w:type="spellEnd"/>
        <w:r w:rsidR="00E7465F" w:rsidRPr="00D560FA">
          <w:rPr>
            <w:rStyle w:val="a5"/>
            <w:rFonts w:ascii="Times New Roman" w:hAnsi="Times New Roman"/>
            <w:b/>
            <w:bdr w:val="none" w:sz="0" w:space="0" w:color="auto" w:frame="1"/>
            <w:shd w:val="clear" w:color="auto" w:fill="FFFFFF"/>
          </w:rPr>
          <w:t>/</w:t>
        </w:r>
        <w:proofErr w:type="spellStart"/>
        <w:r w:rsidR="00E7465F" w:rsidRPr="00D560FA">
          <w:rPr>
            <w:rStyle w:val="a5"/>
            <w:rFonts w:ascii="Times New Roman" w:hAnsi="Times New Roman"/>
            <w:b/>
            <w:bdr w:val="none" w:sz="0" w:space="0" w:color="auto" w:frame="1"/>
            <w:shd w:val="clear" w:color="auto" w:fill="FFFFFF"/>
          </w:rPr>
          <w:t>Метилергометрин</w:t>
        </w:r>
        <w:proofErr w:type="spellEnd"/>
        <w:r w:rsidR="00E7465F" w:rsidRPr="00D560FA">
          <w:rPr>
            <w:rStyle w:val="a5"/>
            <w:rFonts w:ascii="Times New Roman" w:hAnsi="Times New Roman"/>
            <w:b/>
            <w:bdr w:val="none" w:sz="0" w:space="0" w:color="auto" w:frame="1"/>
            <w:shd w:val="clear" w:color="auto" w:fill="FFFFFF"/>
          </w:rPr>
          <w:t>)</w:t>
        </w:r>
      </w:hyperlink>
    </w:p>
    <w:p w:rsidR="00E7465F" w:rsidRPr="00F422B5" w:rsidRDefault="00E7465F" w:rsidP="00E7465F">
      <w:pPr>
        <w:widowControl w:val="0"/>
        <w:spacing w:after="0"/>
        <w:contextualSpacing/>
        <w:jc w:val="both"/>
        <w:rPr>
          <w:rFonts w:ascii="Times New Roman" w:eastAsia="Calibri" w:hAnsi="Times New Roman"/>
          <w:b/>
        </w:rPr>
      </w:pPr>
    </w:p>
    <w:p w:rsidR="00A70244" w:rsidRPr="000E5A98" w:rsidRDefault="00A70244" w:rsidP="00A70244">
      <w:pPr>
        <w:jc w:val="both"/>
        <w:rPr>
          <w:rFonts w:ascii="Times New Roman" w:hAnsi="Times New Roman"/>
          <w:sz w:val="24"/>
          <w:szCs w:val="24"/>
        </w:rPr>
      </w:pPr>
      <w:r w:rsidRPr="000E5A98">
        <w:rPr>
          <w:rFonts w:ascii="Times New Roman" w:hAnsi="Times New Roman"/>
          <w:sz w:val="24"/>
          <w:szCs w:val="24"/>
        </w:rPr>
        <w:t>Для підтвердження відповідності пропозицій технічним вимогам до предмету закупівлі, учасники повинні надати наступні документи:</w:t>
      </w:r>
    </w:p>
    <w:p w:rsidR="00A70244" w:rsidRPr="000E5A98" w:rsidRDefault="00A70244" w:rsidP="00A70244">
      <w:pPr>
        <w:pStyle w:val="a6"/>
        <w:numPr>
          <w:ilvl w:val="0"/>
          <w:numId w:val="3"/>
        </w:numPr>
        <w:spacing w:after="160" w:line="259" w:lineRule="auto"/>
        <w:ind w:left="0" w:firstLine="360"/>
        <w:jc w:val="both"/>
        <w:rPr>
          <w:rFonts w:ascii="Times New Roman" w:hAnsi="Times New Roman"/>
          <w:sz w:val="24"/>
          <w:szCs w:val="24"/>
        </w:rPr>
      </w:pPr>
      <w:r w:rsidRPr="00A70244">
        <w:rPr>
          <w:rFonts w:ascii="Times New Roman" w:hAnsi="Times New Roman"/>
          <w:sz w:val="24"/>
          <w:szCs w:val="24"/>
          <w:lang w:val="uk-UA"/>
        </w:rPr>
        <w:t xml:space="preserve">Лікарські засоби повинні бути зареєстровані в Україні  та/або виготовлені із зареєстрованої, дозволеної до застосування субстанції в Україні. </w:t>
      </w:r>
      <w:proofErr w:type="spellStart"/>
      <w:r w:rsidRPr="000E5A98">
        <w:rPr>
          <w:rFonts w:ascii="Times New Roman" w:hAnsi="Times New Roman"/>
          <w:sz w:val="24"/>
          <w:szCs w:val="24"/>
        </w:rPr>
        <w:t>Надати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копію</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реєстраційного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посвідчення</w:t>
      </w:r>
      <w:proofErr w:type="spellEnd"/>
      <w:r w:rsidRPr="000E5A98">
        <w:rPr>
          <w:rFonts w:ascii="Times New Roman" w:hAnsi="Times New Roman"/>
          <w:sz w:val="24"/>
          <w:szCs w:val="24"/>
        </w:rPr>
        <w:t xml:space="preserve">. </w:t>
      </w:r>
      <w:proofErr w:type="gramStart"/>
      <w:r w:rsidRPr="000E5A98">
        <w:rPr>
          <w:rFonts w:ascii="Times New Roman" w:hAnsi="Times New Roman"/>
          <w:sz w:val="24"/>
          <w:szCs w:val="24"/>
        </w:rPr>
        <w:t xml:space="preserve">У </w:t>
      </w:r>
      <w:proofErr w:type="spellStart"/>
      <w:r w:rsidRPr="000E5A98">
        <w:rPr>
          <w:rFonts w:ascii="Times New Roman" w:hAnsi="Times New Roman"/>
          <w:sz w:val="24"/>
          <w:szCs w:val="24"/>
        </w:rPr>
        <w:t>разі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якщо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реєстраційне</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посвідчення</w:t>
      </w:r>
      <w:proofErr w:type="spellEnd"/>
      <w:r w:rsidRPr="000E5A98">
        <w:rPr>
          <w:rFonts w:ascii="Times New Roman" w:hAnsi="Times New Roman"/>
          <w:sz w:val="24"/>
          <w:szCs w:val="24"/>
        </w:rPr>
        <w:t xml:space="preserve"> на </w:t>
      </w:r>
      <w:proofErr w:type="spellStart"/>
      <w:r w:rsidRPr="000E5A98">
        <w:rPr>
          <w:rFonts w:ascii="Times New Roman" w:hAnsi="Times New Roman"/>
          <w:sz w:val="24"/>
          <w:szCs w:val="24"/>
        </w:rPr>
        <w:t>лікарський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засіб</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який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закуповується</w:t>
      </w:r>
      <w:proofErr w:type="spellEnd"/>
      <w:r w:rsidRPr="000E5A98">
        <w:rPr>
          <w:rFonts w:ascii="Times New Roman" w:hAnsi="Times New Roman"/>
          <w:sz w:val="24"/>
          <w:szCs w:val="24"/>
        </w:rPr>
        <w:t xml:space="preserve"> не </w:t>
      </w:r>
      <w:proofErr w:type="spellStart"/>
      <w:r w:rsidRPr="000E5A98">
        <w:rPr>
          <w:rFonts w:ascii="Times New Roman" w:hAnsi="Times New Roman"/>
          <w:sz w:val="24"/>
          <w:szCs w:val="24"/>
        </w:rPr>
        <w:t>передбачається</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вимогами</w:t>
      </w:r>
      <w:proofErr w:type="spellEnd"/>
      <w:r w:rsidRPr="000E5A98">
        <w:rPr>
          <w:rFonts w:ascii="Times New Roman" w:hAnsi="Times New Roman"/>
          <w:sz w:val="24"/>
          <w:szCs w:val="24"/>
        </w:rPr>
        <w:t xml:space="preserve"> чинного </w:t>
      </w:r>
      <w:proofErr w:type="spellStart"/>
      <w:r w:rsidRPr="000E5A98">
        <w:rPr>
          <w:rFonts w:ascii="Times New Roman" w:hAnsi="Times New Roman"/>
          <w:sz w:val="24"/>
          <w:szCs w:val="24"/>
        </w:rPr>
        <w:t>законодавства</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України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учасник</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має</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надати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лист-пояснення</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відсутності</w:t>
      </w:r>
      <w:proofErr w:type="spellEnd"/>
      <w:r w:rsidRPr="000E5A98">
        <w:rPr>
          <w:rFonts w:ascii="Times New Roman" w:hAnsi="Times New Roman"/>
          <w:sz w:val="24"/>
          <w:szCs w:val="24"/>
        </w:rPr>
        <w:t xml:space="preserve"> такого документа на </w:t>
      </w:r>
      <w:proofErr w:type="spellStart"/>
      <w:r w:rsidRPr="000E5A98">
        <w:rPr>
          <w:rFonts w:ascii="Times New Roman" w:hAnsi="Times New Roman"/>
          <w:sz w:val="24"/>
          <w:szCs w:val="24"/>
        </w:rPr>
        <w:t>даний</w:t>
      </w:r>
      <w:proofErr w:type="spellEnd"/>
      <w:r w:rsidRPr="000E5A98">
        <w:rPr>
          <w:rFonts w:ascii="Times New Roman" w:hAnsi="Times New Roman"/>
          <w:sz w:val="24"/>
          <w:szCs w:val="24"/>
        </w:rPr>
        <w:t xml:space="preserve"> товар).</w:t>
      </w:r>
      <w:proofErr w:type="gramEnd"/>
    </w:p>
    <w:p w:rsidR="00A70244" w:rsidRPr="000E5A98" w:rsidRDefault="00A70244" w:rsidP="00A70244">
      <w:pPr>
        <w:pStyle w:val="a6"/>
        <w:numPr>
          <w:ilvl w:val="0"/>
          <w:numId w:val="3"/>
        </w:numPr>
        <w:spacing w:after="160" w:line="259" w:lineRule="auto"/>
        <w:ind w:left="0" w:firstLine="360"/>
        <w:jc w:val="both"/>
        <w:rPr>
          <w:rFonts w:ascii="Times New Roman" w:hAnsi="Times New Roman"/>
          <w:sz w:val="24"/>
          <w:szCs w:val="24"/>
        </w:rPr>
      </w:pPr>
      <w:r w:rsidRPr="000E5A98">
        <w:rPr>
          <w:rFonts w:ascii="Times New Roman" w:hAnsi="Times New Roman"/>
          <w:sz w:val="24"/>
          <w:szCs w:val="24"/>
        </w:rPr>
        <w:t xml:space="preserve">Упаковки </w:t>
      </w:r>
      <w:proofErr w:type="spellStart"/>
      <w:r w:rsidRPr="000E5A98">
        <w:rPr>
          <w:rFonts w:ascii="Times New Roman" w:hAnsi="Times New Roman"/>
          <w:sz w:val="24"/>
          <w:szCs w:val="24"/>
        </w:rPr>
        <w:t>лікарських</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засобів</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мають</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відповідати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тим</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що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зареєстровані</w:t>
      </w:r>
      <w:proofErr w:type="spellEnd"/>
      <w:r w:rsidRPr="000E5A98">
        <w:rPr>
          <w:rFonts w:ascii="Times New Roman" w:hAnsi="Times New Roman"/>
          <w:sz w:val="24"/>
          <w:szCs w:val="24"/>
        </w:rPr>
        <w:t xml:space="preserve"> в Державному </w:t>
      </w:r>
      <w:proofErr w:type="spellStart"/>
      <w:r w:rsidRPr="000E5A98">
        <w:rPr>
          <w:rFonts w:ascii="Times New Roman" w:hAnsi="Times New Roman"/>
          <w:sz w:val="24"/>
          <w:szCs w:val="24"/>
        </w:rPr>
        <w:t>фармакологічному</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центрі</w:t>
      </w:r>
      <w:proofErr w:type="spellEnd"/>
      <w:r w:rsidRPr="000E5A98">
        <w:rPr>
          <w:rFonts w:ascii="Times New Roman" w:hAnsi="Times New Roman"/>
          <w:sz w:val="24"/>
          <w:szCs w:val="24"/>
        </w:rPr>
        <w:t xml:space="preserve"> МОЗ </w:t>
      </w:r>
      <w:proofErr w:type="spellStart"/>
      <w:r w:rsidRPr="000E5A98">
        <w:rPr>
          <w:rFonts w:ascii="Times New Roman" w:hAnsi="Times New Roman"/>
          <w:sz w:val="24"/>
          <w:szCs w:val="24"/>
        </w:rPr>
        <w:t>України</w:t>
      </w:r>
      <w:proofErr w:type="spellEnd"/>
      <w:r w:rsidRPr="000E5A98">
        <w:rPr>
          <w:rFonts w:ascii="Times New Roman" w:hAnsi="Times New Roman"/>
          <w:sz w:val="24"/>
          <w:szCs w:val="24"/>
        </w:rPr>
        <w:t xml:space="preserve">, не </w:t>
      </w:r>
      <w:proofErr w:type="spellStart"/>
      <w:r w:rsidRPr="000E5A98">
        <w:rPr>
          <w:rFonts w:ascii="Times New Roman" w:hAnsi="Times New Roman"/>
          <w:sz w:val="24"/>
          <w:szCs w:val="24"/>
        </w:rPr>
        <w:t>повинні</w:t>
      </w:r>
      <w:proofErr w:type="spellEnd"/>
      <w:r w:rsidRPr="000E5A98">
        <w:rPr>
          <w:rFonts w:ascii="Times New Roman" w:hAnsi="Times New Roman"/>
          <w:sz w:val="24"/>
          <w:szCs w:val="24"/>
        </w:rPr>
        <w:t xml:space="preserve"> бути </w:t>
      </w:r>
      <w:proofErr w:type="spellStart"/>
      <w:r w:rsidRPr="000E5A98">
        <w:rPr>
          <w:rFonts w:ascii="Times New Roman" w:hAnsi="Times New Roman"/>
          <w:sz w:val="24"/>
          <w:szCs w:val="24"/>
        </w:rPr>
        <w:t>пошкоджені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розкриті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неукомплектовані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чи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недоукомплектовані</w:t>
      </w:r>
      <w:proofErr w:type="spellEnd"/>
      <w:r w:rsidRPr="000E5A98">
        <w:rPr>
          <w:rFonts w:ascii="Times New Roman" w:hAnsi="Times New Roman"/>
          <w:sz w:val="24"/>
          <w:szCs w:val="24"/>
        </w:rPr>
        <w:t xml:space="preserve">, </w:t>
      </w:r>
      <w:proofErr w:type="spellStart"/>
      <w:proofErr w:type="gramStart"/>
      <w:r w:rsidRPr="000E5A98">
        <w:rPr>
          <w:rFonts w:ascii="Times New Roman" w:hAnsi="Times New Roman"/>
          <w:sz w:val="24"/>
          <w:szCs w:val="24"/>
        </w:rPr>
        <w:t>з</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обов</w:t>
      </w:r>
      <w:proofErr w:type="gramEnd"/>
      <w:r w:rsidRPr="000E5A98">
        <w:rPr>
          <w:rFonts w:ascii="Times New Roman" w:hAnsi="Times New Roman"/>
          <w:sz w:val="24"/>
          <w:szCs w:val="24"/>
        </w:rPr>
        <w:t>’язковою</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наявністю</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інструкції</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щодо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використання</w:t>
      </w:r>
      <w:proofErr w:type="spellEnd"/>
      <w:r w:rsidRPr="000E5A98">
        <w:rPr>
          <w:rFonts w:ascii="Times New Roman" w:hAnsi="Times New Roman"/>
          <w:sz w:val="24"/>
          <w:szCs w:val="24"/>
        </w:rPr>
        <w:t xml:space="preserve"> препарату </w:t>
      </w:r>
      <w:proofErr w:type="spellStart"/>
      <w:r w:rsidRPr="000E5A98">
        <w:rPr>
          <w:rFonts w:ascii="Times New Roman" w:hAnsi="Times New Roman"/>
          <w:sz w:val="24"/>
          <w:szCs w:val="24"/>
        </w:rPr>
        <w:t>українською</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мовою</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затвердженої</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Державним</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фармакологічним</w:t>
      </w:r>
      <w:proofErr w:type="spellEnd"/>
      <w:r w:rsidRPr="000E5A98">
        <w:rPr>
          <w:rFonts w:ascii="Times New Roman" w:hAnsi="Times New Roman"/>
          <w:sz w:val="24"/>
          <w:szCs w:val="24"/>
        </w:rPr>
        <w:t xml:space="preserve"> центром МОЗ </w:t>
      </w:r>
      <w:proofErr w:type="spellStart"/>
      <w:r w:rsidRPr="000E5A98">
        <w:rPr>
          <w:rFonts w:ascii="Times New Roman" w:hAnsi="Times New Roman"/>
          <w:sz w:val="24"/>
          <w:szCs w:val="24"/>
        </w:rPr>
        <w:t>України</w:t>
      </w:r>
      <w:proofErr w:type="spellEnd"/>
      <w:r w:rsidRPr="000E5A98">
        <w:rPr>
          <w:rFonts w:ascii="Times New Roman" w:hAnsi="Times New Roman"/>
          <w:sz w:val="24"/>
          <w:szCs w:val="24"/>
        </w:rPr>
        <w:t xml:space="preserve">  – </w:t>
      </w:r>
      <w:proofErr w:type="spellStart"/>
      <w:r w:rsidRPr="000E5A98">
        <w:rPr>
          <w:rFonts w:ascii="Times New Roman" w:hAnsi="Times New Roman"/>
          <w:sz w:val="24"/>
          <w:szCs w:val="24"/>
        </w:rPr>
        <w:t>надати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гарантійний</w:t>
      </w:r>
      <w:proofErr w:type="spellEnd"/>
      <w:r w:rsidRPr="000E5A98">
        <w:rPr>
          <w:rFonts w:ascii="Times New Roman" w:hAnsi="Times New Roman"/>
          <w:sz w:val="24"/>
          <w:szCs w:val="24"/>
        </w:rPr>
        <w:t xml:space="preserve"> лист </w:t>
      </w:r>
      <w:proofErr w:type="spellStart"/>
      <w:r w:rsidRPr="000E5A98">
        <w:rPr>
          <w:rFonts w:ascii="Times New Roman" w:hAnsi="Times New Roman"/>
          <w:sz w:val="24"/>
          <w:szCs w:val="24"/>
        </w:rPr>
        <w:t>Учасника</w:t>
      </w:r>
      <w:proofErr w:type="spellEnd"/>
      <w:r w:rsidRPr="000E5A98">
        <w:rPr>
          <w:rFonts w:ascii="Times New Roman" w:hAnsi="Times New Roman"/>
          <w:sz w:val="24"/>
          <w:szCs w:val="24"/>
        </w:rPr>
        <w:t xml:space="preserve">. </w:t>
      </w:r>
      <w:proofErr w:type="gramStart"/>
      <w:r w:rsidRPr="000E5A98">
        <w:rPr>
          <w:rFonts w:ascii="Times New Roman" w:hAnsi="Times New Roman"/>
          <w:sz w:val="24"/>
          <w:szCs w:val="24"/>
        </w:rPr>
        <w:t>У</w:t>
      </w:r>
      <w:proofErr w:type="gramEnd"/>
      <w:r w:rsidRPr="000E5A98">
        <w:rPr>
          <w:rFonts w:ascii="Times New Roman" w:hAnsi="Times New Roman"/>
          <w:sz w:val="24"/>
          <w:szCs w:val="24"/>
        </w:rPr>
        <w:t xml:space="preserve"> </w:t>
      </w:r>
      <w:proofErr w:type="spellStart"/>
      <w:proofErr w:type="gramStart"/>
      <w:r w:rsidRPr="000E5A98">
        <w:rPr>
          <w:rFonts w:ascii="Times New Roman" w:hAnsi="Times New Roman"/>
          <w:sz w:val="24"/>
          <w:szCs w:val="24"/>
        </w:rPr>
        <w:t>раз</w:t>
      </w:r>
      <w:proofErr w:type="gramEnd"/>
      <w:r w:rsidRPr="000E5A98">
        <w:rPr>
          <w:rFonts w:ascii="Times New Roman" w:hAnsi="Times New Roman"/>
          <w:sz w:val="24"/>
          <w:szCs w:val="24"/>
        </w:rPr>
        <w:t>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якщо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інструкція</w:t>
      </w:r>
      <w:proofErr w:type="spellEnd"/>
      <w:r w:rsidRPr="000E5A98">
        <w:rPr>
          <w:rFonts w:ascii="Times New Roman" w:hAnsi="Times New Roman"/>
          <w:sz w:val="24"/>
          <w:szCs w:val="24"/>
        </w:rPr>
        <w:t xml:space="preserve"> на </w:t>
      </w:r>
      <w:proofErr w:type="spellStart"/>
      <w:r w:rsidRPr="000E5A98">
        <w:rPr>
          <w:rFonts w:ascii="Times New Roman" w:hAnsi="Times New Roman"/>
          <w:sz w:val="24"/>
          <w:szCs w:val="24"/>
        </w:rPr>
        <w:t>лікарський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засіб</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який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закуповується</w:t>
      </w:r>
      <w:proofErr w:type="spellEnd"/>
      <w:r w:rsidRPr="000E5A98">
        <w:rPr>
          <w:rFonts w:ascii="Times New Roman" w:hAnsi="Times New Roman"/>
          <w:sz w:val="24"/>
          <w:szCs w:val="24"/>
        </w:rPr>
        <w:t xml:space="preserve"> не </w:t>
      </w:r>
      <w:proofErr w:type="spellStart"/>
      <w:r w:rsidRPr="000E5A98">
        <w:rPr>
          <w:rFonts w:ascii="Times New Roman" w:hAnsi="Times New Roman"/>
          <w:sz w:val="24"/>
          <w:szCs w:val="24"/>
        </w:rPr>
        <w:t>передбачається</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вимогами</w:t>
      </w:r>
      <w:proofErr w:type="spellEnd"/>
      <w:r w:rsidRPr="000E5A98">
        <w:rPr>
          <w:rFonts w:ascii="Times New Roman" w:hAnsi="Times New Roman"/>
          <w:sz w:val="24"/>
          <w:szCs w:val="24"/>
        </w:rPr>
        <w:t xml:space="preserve"> чинного </w:t>
      </w:r>
      <w:proofErr w:type="spellStart"/>
      <w:r w:rsidRPr="000E5A98">
        <w:rPr>
          <w:rFonts w:ascii="Times New Roman" w:hAnsi="Times New Roman"/>
          <w:sz w:val="24"/>
          <w:szCs w:val="24"/>
        </w:rPr>
        <w:t>законодавства</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України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учасник</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має</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надати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лист-пояснення</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відсутності</w:t>
      </w:r>
      <w:proofErr w:type="spellEnd"/>
      <w:r w:rsidRPr="000E5A98">
        <w:rPr>
          <w:rFonts w:ascii="Times New Roman" w:hAnsi="Times New Roman"/>
          <w:sz w:val="24"/>
          <w:szCs w:val="24"/>
        </w:rPr>
        <w:t xml:space="preserve"> такого документа на </w:t>
      </w:r>
      <w:proofErr w:type="spellStart"/>
      <w:r w:rsidRPr="000E5A98">
        <w:rPr>
          <w:rFonts w:ascii="Times New Roman" w:hAnsi="Times New Roman"/>
          <w:sz w:val="24"/>
          <w:szCs w:val="24"/>
        </w:rPr>
        <w:t>даний</w:t>
      </w:r>
      <w:proofErr w:type="spellEnd"/>
      <w:r w:rsidRPr="000E5A98">
        <w:rPr>
          <w:rFonts w:ascii="Times New Roman" w:hAnsi="Times New Roman"/>
          <w:sz w:val="24"/>
          <w:szCs w:val="24"/>
        </w:rPr>
        <w:t xml:space="preserve"> товар.</w:t>
      </w:r>
    </w:p>
    <w:p w:rsidR="00A70244" w:rsidRPr="000E5A98" w:rsidRDefault="00A70244" w:rsidP="00A70244">
      <w:pPr>
        <w:pStyle w:val="a6"/>
        <w:numPr>
          <w:ilvl w:val="0"/>
          <w:numId w:val="3"/>
        </w:numPr>
        <w:spacing w:after="160" w:line="259" w:lineRule="auto"/>
        <w:ind w:left="0" w:firstLine="360"/>
        <w:jc w:val="both"/>
        <w:rPr>
          <w:rFonts w:ascii="Times New Roman" w:hAnsi="Times New Roman"/>
          <w:sz w:val="24"/>
          <w:szCs w:val="24"/>
        </w:rPr>
      </w:pPr>
      <w:r w:rsidRPr="000E5A98">
        <w:rPr>
          <w:rFonts w:ascii="Times New Roman" w:hAnsi="Times New Roman"/>
          <w:sz w:val="24"/>
          <w:szCs w:val="24"/>
        </w:rPr>
        <w:t xml:space="preserve">При </w:t>
      </w:r>
      <w:proofErr w:type="spellStart"/>
      <w:r w:rsidRPr="000E5A98">
        <w:rPr>
          <w:rFonts w:ascii="Times New Roman" w:hAnsi="Times New Roman"/>
          <w:sz w:val="24"/>
          <w:szCs w:val="24"/>
        </w:rPr>
        <w:t>постачанні</w:t>
      </w:r>
      <w:proofErr w:type="spellEnd"/>
      <w:r w:rsidRPr="000E5A98">
        <w:rPr>
          <w:rFonts w:ascii="Times New Roman" w:hAnsi="Times New Roman"/>
          <w:sz w:val="24"/>
          <w:szCs w:val="24"/>
        </w:rPr>
        <w:t xml:space="preserve"> товару </w:t>
      </w:r>
      <w:proofErr w:type="spellStart"/>
      <w:r w:rsidRPr="000E5A98">
        <w:rPr>
          <w:rFonts w:ascii="Times New Roman" w:hAnsi="Times New Roman"/>
          <w:sz w:val="24"/>
          <w:szCs w:val="24"/>
        </w:rPr>
        <w:t>кожен</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лікарський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засіб</w:t>
      </w:r>
      <w:proofErr w:type="spellEnd"/>
      <w:r w:rsidRPr="000E5A98">
        <w:rPr>
          <w:rFonts w:ascii="Times New Roman" w:hAnsi="Times New Roman"/>
          <w:sz w:val="24"/>
          <w:szCs w:val="24"/>
        </w:rPr>
        <w:t xml:space="preserve"> </w:t>
      </w:r>
      <w:proofErr w:type="gramStart"/>
      <w:r w:rsidRPr="000E5A98">
        <w:rPr>
          <w:rFonts w:ascii="Times New Roman" w:hAnsi="Times New Roman"/>
          <w:sz w:val="24"/>
          <w:szCs w:val="24"/>
        </w:rPr>
        <w:t>повинен</w:t>
      </w:r>
      <w:proofErr w:type="gramEnd"/>
      <w:r w:rsidRPr="000E5A98">
        <w:rPr>
          <w:rFonts w:ascii="Times New Roman" w:hAnsi="Times New Roman"/>
          <w:sz w:val="24"/>
          <w:szCs w:val="24"/>
        </w:rPr>
        <w:t xml:space="preserve"> </w:t>
      </w:r>
      <w:proofErr w:type="spellStart"/>
      <w:r w:rsidRPr="000E5A98">
        <w:rPr>
          <w:rFonts w:ascii="Times New Roman" w:hAnsi="Times New Roman"/>
          <w:sz w:val="24"/>
          <w:szCs w:val="24"/>
        </w:rPr>
        <w:t>супроводжуватись</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сертифікатом</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якості</w:t>
      </w:r>
      <w:proofErr w:type="spellEnd"/>
      <w:r w:rsidRPr="000E5A98">
        <w:rPr>
          <w:rFonts w:ascii="Times New Roman" w:hAnsi="Times New Roman"/>
          <w:sz w:val="24"/>
          <w:szCs w:val="24"/>
        </w:rPr>
        <w:t>.</w:t>
      </w:r>
    </w:p>
    <w:p w:rsidR="00A70244" w:rsidRPr="000E5A98" w:rsidRDefault="00A70244" w:rsidP="00A70244">
      <w:pPr>
        <w:pStyle w:val="a6"/>
        <w:numPr>
          <w:ilvl w:val="0"/>
          <w:numId w:val="3"/>
        </w:numPr>
        <w:spacing w:after="160" w:line="259" w:lineRule="auto"/>
        <w:ind w:left="0" w:firstLine="360"/>
        <w:jc w:val="both"/>
        <w:rPr>
          <w:rFonts w:ascii="Times New Roman" w:hAnsi="Times New Roman"/>
          <w:sz w:val="24"/>
          <w:szCs w:val="24"/>
        </w:rPr>
      </w:pPr>
      <w:r w:rsidRPr="000E5A98">
        <w:rPr>
          <w:rFonts w:ascii="Times New Roman" w:hAnsi="Times New Roman"/>
          <w:sz w:val="24"/>
          <w:szCs w:val="24"/>
        </w:rPr>
        <w:t xml:space="preserve">У </w:t>
      </w:r>
      <w:proofErr w:type="spellStart"/>
      <w:r w:rsidRPr="000E5A98">
        <w:rPr>
          <w:rFonts w:ascii="Times New Roman" w:hAnsi="Times New Roman"/>
          <w:sz w:val="24"/>
          <w:szCs w:val="24"/>
        </w:rPr>
        <w:t>разі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якщо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учасником</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пропонується</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лікарський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засіб</w:t>
      </w:r>
      <w:proofErr w:type="spellEnd"/>
      <w:r w:rsidRPr="000E5A98">
        <w:rPr>
          <w:rFonts w:ascii="Times New Roman" w:hAnsi="Times New Roman"/>
          <w:sz w:val="24"/>
          <w:szCs w:val="24"/>
        </w:rPr>
        <w:t>/</w:t>
      </w:r>
      <w:proofErr w:type="spellStart"/>
      <w:r w:rsidRPr="000E5A98">
        <w:rPr>
          <w:rFonts w:ascii="Times New Roman" w:hAnsi="Times New Roman"/>
          <w:sz w:val="24"/>
          <w:szCs w:val="24"/>
        </w:rPr>
        <w:t>медичний</w:t>
      </w:r>
      <w:proofErr w:type="spellEnd"/>
      <w:r w:rsidRPr="000E5A98">
        <w:rPr>
          <w:rFonts w:ascii="Times New Roman" w:hAnsi="Times New Roman"/>
          <w:sz w:val="24"/>
          <w:szCs w:val="24"/>
        </w:rPr>
        <w:t xml:space="preserve"> препарат, </w:t>
      </w:r>
      <w:proofErr w:type="spellStart"/>
      <w:r w:rsidRPr="000E5A98">
        <w:rPr>
          <w:rFonts w:ascii="Times New Roman" w:hAnsi="Times New Roman"/>
          <w:sz w:val="24"/>
          <w:szCs w:val="24"/>
        </w:rPr>
        <w:t>що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потребує</w:t>
      </w:r>
      <w:proofErr w:type="spellEnd"/>
      <w:r w:rsidRPr="000E5A98">
        <w:rPr>
          <w:rFonts w:ascii="Times New Roman" w:hAnsi="Times New Roman"/>
          <w:sz w:val="24"/>
          <w:szCs w:val="24"/>
        </w:rPr>
        <w:t xml:space="preserve"> </w:t>
      </w:r>
      <w:proofErr w:type="spellStart"/>
      <w:proofErr w:type="gramStart"/>
      <w:r w:rsidRPr="000E5A98">
        <w:rPr>
          <w:rFonts w:ascii="Times New Roman" w:hAnsi="Times New Roman"/>
          <w:sz w:val="24"/>
          <w:szCs w:val="24"/>
        </w:rPr>
        <w:t>п</w:t>
      </w:r>
      <w:proofErr w:type="gramEnd"/>
      <w:r w:rsidRPr="000E5A98">
        <w:rPr>
          <w:rFonts w:ascii="Times New Roman" w:hAnsi="Times New Roman"/>
          <w:sz w:val="24"/>
          <w:szCs w:val="24"/>
        </w:rPr>
        <w:t>ід</w:t>
      </w:r>
      <w:proofErr w:type="spellEnd"/>
      <w:r w:rsidRPr="000E5A98">
        <w:rPr>
          <w:rFonts w:ascii="Times New Roman" w:hAnsi="Times New Roman"/>
          <w:sz w:val="24"/>
          <w:szCs w:val="24"/>
        </w:rPr>
        <w:t xml:space="preserve"> час </w:t>
      </w:r>
      <w:proofErr w:type="spellStart"/>
      <w:r w:rsidRPr="000E5A98">
        <w:rPr>
          <w:rFonts w:ascii="Times New Roman" w:hAnsi="Times New Roman"/>
          <w:sz w:val="24"/>
          <w:szCs w:val="24"/>
        </w:rPr>
        <w:t>його</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зберігання</w:t>
      </w:r>
      <w:proofErr w:type="spellEnd"/>
      <w:r w:rsidRPr="000E5A98">
        <w:rPr>
          <w:rFonts w:ascii="Times New Roman" w:hAnsi="Times New Roman"/>
          <w:sz w:val="24"/>
          <w:szCs w:val="24"/>
        </w:rPr>
        <w:t xml:space="preserve"> та </w:t>
      </w:r>
      <w:proofErr w:type="spellStart"/>
      <w:r w:rsidRPr="000E5A98">
        <w:rPr>
          <w:rFonts w:ascii="Times New Roman" w:hAnsi="Times New Roman"/>
          <w:sz w:val="24"/>
          <w:szCs w:val="24"/>
        </w:rPr>
        <w:t>транспортування</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дотримання</w:t>
      </w:r>
      <w:proofErr w:type="spellEnd"/>
      <w:r w:rsidRPr="000E5A98">
        <w:rPr>
          <w:rFonts w:ascii="Times New Roman" w:hAnsi="Times New Roman"/>
          <w:sz w:val="24"/>
          <w:szCs w:val="24"/>
        </w:rPr>
        <w:t xml:space="preserve"> температурного режиму «</w:t>
      </w:r>
      <w:proofErr w:type="spellStart"/>
      <w:r w:rsidRPr="000E5A98">
        <w:rPr>
          <w:rFonts w:ascii="Times New Roman" w:hAnsi="Times New Roman"/>
          <w:sz w:val="24"/>
          <w:szCs w:val="24"/>
        </w:rPr>
        <w:t>холодовий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ланцюг</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учасник</w:t>
      </w:r>
      <w:proofErr w:type="spellEnd"/>
      <w:r w:rsidRPr="000E5A98">
        <w:rPr>
          <w:rFonts w:ascii="Times New Roman" w:hAnsi="Times New Roman"/>
          <w:sz w:val="24"/>
          <w:szCs w:val="24"/>
        </w:rPr>
        <w:t xml:space="preserve"> повинен </w:t>
      </w:r>
      <w:proofErr w:type="spellStart"/>
      <w:r w:rsidRPr="000E5A98">
        <w:rPr>
          <w:rFonts w:ascii="Times New Roman" w:hAnsi="Times New Roman"/>
          <w:sz w:val="24"/>
          <w:szCs w:val="24"/>
        </w:rPr>
        <w:t>забезпечити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дотримання</w:t>
      </w:r>
      <w:proofErr w:type="spellEnd"/>
      <w:r w:rsidRPr="000E5A98">
        <w:rPr>
          <w:rFonts w:ascii="Times New Roman" w:hAnsi="Times New Roman"/>
          <w:sz w:val="24"/>
          <w:szCs w:val="24"/>
        </w:rPr>
        <w:t xml:space="preserve"> такого температурного режиму (</w:t>
      </w:r>
      <w:proofErr w:type="spellStart"/>
      <w:r w:rsidRPr="000E5A98">
        <w:rPr>
          <w:rFonts w:ascii="Times New Roman" w:hAnsi="Times New Roman"/>
          <w:sz w:val="24"/>
          <w:szCs w:val="24"/>
        </w:rPr>
        <w:t>надати</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довідку</w:t>
      </w:r>
      <w:proofErr w:type="spellEnd"/>
      <w:r w:rsidRPr="000E5A98">
        <w:rPr>
          <w:rFonts w:ascii="Times New Roman" w:hAnsi="Times New Roman"/>
          <w:sz w:val="24"/>
          <w:szCs w:val="24"/>
        </w:rPr>
        <w:t xml:space="preserve"> в </w:t>
      </w:r>
      <w:proofErr w:type="spellStart"/>
      <w:r w:rsidRPr="000E5A98">
        <w:rPr>
          <w:rFonts w:ascii="Times New Roman" w:hAnsi="Times New Roman"/>
          <w:sz w:val="24"/>
          <w:szCs w:val="24"/>
        </w:rPr>
        <w:t>довільній</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формі</w:t>
      </w:r>
      <w:proofErr w:type="spellEnd"/>
      <w:r w:rsidRPr="000E5A98">
        <w:rPr>
          <w:rFonts w:ascii="Times New Roman" w:hAnsi="Times New Roman"/>
          <w:sz w:val="24"/>
          <w:szCs w:val="24"/>
        </w:rPr>
        <w:t>).</w:t>
      </w:r>
    </w:p>
    <w:p w:rsidR="00A70244" w:rsidRPr="000E5A98" w:rsidRDefault="00A70244" w:rsidP="00A70244">
      <w:pPr>
        <w:pStyle w:val="a6"/>
        <w:numPr>
          <w:ilvl w:val="0"/>
          <w:numId w:val="3"/>
        </w:numPr>
        <w:spacing w:after="160" w:line="259" w:lineRule="auto"/>
        <w:ind w:left="0" w:firstLine="360"/>
        <w:jc w:val="both"/>
        <w:rPr>
          <w:rFonts w:ascii="Times New Roman" w:hAnsi="Times New Roman"/>
          <w:sz w:val="24"/>
          <w:szCs w:val="24"/>
        </w:rPr>
      </w:pPr>
      <w:proofErr w:type="spellStart"/>
      <w:r w:rsidRPr="000E5A98">
        <w:rPr>
          <w:rFonts w:ascii="Times New Roman" w:hAnsi="Times New Roman"/>
          <w:sz w:val="24"/>
          <w:szCs w:val="24"/>
        </w:rPr>
        <w:t>Гарантійний</w:t>
      </w:r>
      <w:proofErr w:type="spellEnd"/>
      <w:r w:rsidRPr="000E5A98">
        <w:rPr>
          <w:rFonts w:ascii="Times New Roman" w:hAnsi="Times New Roman"/>
          <w:sz w:val="24"/>
          <w:szCs w:val="24"/>
        </w:rPr>
        <w:t xml:space="preserve"> лист </w:t>
      </w:r>
      <w:proofErr w:type="spellStart"/>
      <w:r w:rsidRPr="000E5A98">
        <w:rPr>
          <w:rFonts w:ascii="Times New Roman" w:hAnsi="Times New Roman"/>
          <w:sz w:val="24"/>
          <w:szCs w:val="24"/>
        </w:rPr>
        <w:t>від</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учасника</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що</w:t>
      </w:r>
      <w:proofErr w:type="spellEnd"/>
      <w:r w:rsidRPr="000E5A98">
        <w:rPr>
          <w:rFonts w:ascii="Times New Roman" w:hAnsi="Times New Roman"/>
          <w:sz w:val="24"/>
          <w:szCs w:val="24"/>
        </w:rPr>
        <w:t xml:space="preserve"> </w:t>
      </w:r>
      <w:bookmarkStart w:id="0" w:name="_Hlk121856672"/>
      <w:proofErr w:type="spellStart"/>
      <w:r w:rsidRPr="000E5A98">
        <w:rPr>
          <w:rFonts w:ascii="Times New Roman" w:hAnsi="Times New Roman"/>
          <w:sz w:val="24"/>
          <w:szCs w:val="24"/>
        </w:rPr>
        <w:t>термін</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придатності</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лікарських</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засобі</w:t>
      </w:r>
      <w:proofErr w:type="gramStart"/>
      <w:r w:rsidRPr="000E5A98">
        <w:rPr>
          <w:rFonts w:ascii="Times New Roman" w:hAnsi="Times New Roman"/>
          <w:sz w:val="24"/>
          <w:szCs w:val="24"/>
        </w:rPr>
        <w:t>в</w:t>
      </w:r>
      <w:proofErr w:type="spellEnd"/>
      <w:proofErr w:type="gramEnd"/>
      <w:r w:rsidRPr="000E5A98">
        <w:rPr>
          <w:rFonts w:ascii="Times New Roman" w:hAnsi="Times New Roman"/>
          <w:sz w:val="24"/>
          <w:szCs w:val="24"/>
        </w:rPr>
        <w:t xml:space="preserve"> </w:t>
      </w:r>
      <w:proofErr w:type="gramStart"/>
      <w:r w:rsidRPr="000E5A98">
        <w:rPr>
          <w:rFonts w:ascii="Times New Roman" w:hAnsi="Times New Roman"/>
          <w:sz w:val="24"/>
          <w:szCs w:val="24"/>
        </w:rPr>
        <w:t>на</w:t>
      </w:r>
      <w:proofErr w:type="gramEnd"/>
      <w:r w:rsidRPr="000E5A98">
        <w:rPr>
          <w:rFonts w:ascii="Times New Roman" w:hAnsi="Times New Roman"/>
          <w:sz w:val="24"/>
          <w:szCs w:val="24"/>
        </w:rPr>
        <w:t xml:space="preserve"> момент поставки </w:t>
      </w:r>
      <w:proofErr w:type="spellStart"/>
      <w:r w:rsidRPr="000E5A98">
        <w:rPr>
          <w:rFonts w:ascii="Times New Roman" w:hAnsi="Times New Roman"/>
          <w:sz w:val="24"/>
          <w:szCs w:val="24"/>
        </w:rPr>
        <w:t>становитиме</w:t>
      </w:r>
      <w:proofErr w:type="spellEnd"/>
      <w:r w:rsidRPr="000E5A98">
        <w:rPr>
          <w:rFonts w:ascii="Times New Roman" w:hAnsi="Times New Roman"/>
          <w:sz w:val="24"/>
          <w:szCs w:val="24"/>
        </w:rPr>
        <w:t xml:space="preserve"> не </w:t>
      </w:r>
      <w:proofErr w:type="spellStart"/>
      <w:r w:rsidRPr="000E5A98">
        <w:rPr>
          <w:rFonts w:ascii="Times New Roman" w:hAnsi="Times New Roman"/>
          <w:sz w:val="24"/>
          <w:szCs w:val="24"/>
        </w:rPr>
        <w:t>менше</w:t>
      </w:r>
      <w:proofErr w:type="spellEnd"/>
      <w:r w:rsidRPr="000E5A98">
        <w:rPr>
          <w:rFonts w:ascii="Times New Roman" w:hAnsi="Times New Roman"/>
          <w:sz w:val="24"/>
          <w:szCs w:val="24"/>
        </w:rPr>
        <w:t xml:space="preserve"> </w:t>
      </w:r>
      <w:r>
        <w:rPr>
          <w:rFonts w:ascii="Times New Roman" w:hAnsi="Times New Roman"/>
          <w:sz w:val="24"/>
          <w:szCs w:val="24"/>
        </w:rPr>
        <w:t>80</w:t>
      </w:r>
      <w:r w:rsidRPr="000E5A98">
        <w:rPr>
          <w:rFonts w:ascii="Times New Roman" w:hAnsi="Times New Roman"/>
          <w:sz w:val="24"/>
          <w:szCs w:val="24"/>
        </w:rPr>
        <w:t xml:space="preserve">%. Поставка </w:t>
      </w:r>
      <w:proofErr w:type="spellStart"/>
      <w:r w:rsidRPr="000E5A98">
        <w:rPr>
          <w:rFonts w:ascii="Times New Roman" w:hAnsi="Times New Roman"/>
          <w:sz w:val="24"/>
          <w:szCs w:val="24"/>
        </w:rPr>
        <w:t>з</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меншим</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терміном</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придатності</w:t>
      </w:r>
      <w:proofErr w:type="spellEnd"/>
      <w:r w:rsidRPr="000E5A98">
        <w:rPr>
          <w:rFonts w:ascii="Times New Roman" w:hAnsi="Times New Roman"/>
          <w:sz w:val="24"/>
          <w:szCs w:val="24"/>
        </w:rPr>
        <w:t xml:space="preserve"> за </w:t>
      </w:r>
      <w:proofErr w:type="spellStart"/>
      <w:r w:rsidRPr="000E5A98">
        <w:rPr>
          <w:rFonts w:ascii="Times New Roman" w:hAnsi="Times New Roman"/>
          <w:sz w:val="24"/>
          <w:szCs w:val="24"/>
        </w:rPr>
        <w:t>згодою</w:t>
      </w:r>
      <w:proofErr w:type="spellEnd"/>
      <w:r w:rsidRPr="000E5A98">
        <w:rPr>
          <w:rFonts w:ascii="Times New Roman" w:hAnsi="Times New Roman"/>
          <w:sz w:val="24"/>
          <w:szCs w:val="24"/>
        </w:rPr>
        <w:t xml:space="preserve"> </w:t>
      </w:r>
      <w:proofErr w:type="spellStart"/>
      <w:r w:rsidRPr="000E5A98">
        <w:rPr>
          <w:rFonts w:ascii="Times New Roman" w:hAnsi="Times New Roman"/>
          <w:sz w:val="24"/>
          <w:szCs w:val="24"/>
        </w:rPr>
        <w:t>сторін</w:t>
      </w:r>
      <w:proofErr w:type="spellEnd"/>
      <w:r w:rsidRPr="000E5A98">
        <w:rPr>
          <w:rFonts w:ascii="Times New Roman" w:hAnsi="Times New Roman"/>
          <w:sz w:val="24"/>
          <w:szCs w:val="24"/>
        </w:rPr>
        <w:t>.</w:t>
      </w:r>
    </w:p>
    <w:bookmarkEnd w:id="0"/>
    <w:p w:rsidR="00A70244" w:rsidRDefault="00A70244" w:rsidP="00A70244">
      <w:pPr>
        <w:spacing w:line="240" w:lineRule="auto"/>
        <w:ind w:firstLine="284"/>
        <w:contextualSpacing/>
        <w:jc w:val="both"/>
        <w:rPr>
          <w:rFonts w:ascii="Times New Roman" w:hAnsi="Times New Roman"/>
          <w:i/>
          <w:sz w:val="24"/>
          <w:szCs w:val="24"/>
          <w:highlight w:val="white"/>
        </w:rPr>
      </w:pPr>
    </w:p>
    <w:p w:rsidR="00A70244" w:rsidRDefault="00A70244" w:rsidP="00A70244">
      <w:pPr>
        <w:shd w:val="clear" w:color="auto" w:fill="FFFFFF"/>
        <w:spacing w:after="0" w:line="240" w:lineRule="auto"/>
        <w:ind w:firstLine="460"/>
        <w:jc w:val="both"/>
        <w:rPr>
          <w:rFonts w:ascii="Times New Roman" w:hAnsi="Times New Roman"/>
          <w:sz w:val="24"/>
          <w:szCs w:val="24"/>
        </w:rPr>
      </w:pPr>
      <w:r w:rsidRPr="009C5C80">
        <w:rPr>
          <w:rFonts w:ascii="Times New Roman" w:hAnsi="Times New Roman"/>
          <w:b/>
          <w:sz w:val="24"/>
          <w:szCs w:val="24"/>
        </w:rPr>
        <w:lastRenderedPageBreak/>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p>
    <w:p w:rsidR="00A70244" w:rsidRDefault="00A70244" w:rsidP="00A70244">
      <w:pPr>
        <w:shd w:val="clear" w:color="auto" w:fill="FFFFFF"/>
        <w:spacing w:after="0" w:line="240" w:lineRule="auto"/>
        <w:ind w:firstLine="720"/>
        <w:jc w:val="both"/>
        <w:rPr>
          <w:rFonts w:ascii="Times New Roman" w:hAnsi="Times New Roman"/>
          <w:sz w:val="4"/>
          <w:szCs w:val="4"/>
          <w:highlight w:val="white"/>
        </w:rPr>
      </w:pPr>
    </w:p>
    <w:p w:rsidR="00A70244" w:rsidRDefault="00A70244" w:rsidP="00A70244">
      <w:pPr>
        <w:shd w:val="clear" w:color="auto" w:fill="FFFFFF"/>
        <w:spacing w:after="0" w:line="240" w:lineRule="auto"/>
        <w:ind w:firstLine="720"/>
        <w:jc w:val="both"/>
        <w:rPr>
          <w:rFonts w:ascii="Times New Roman" w:hAnsi="Times New Roman"/>
          <w:b/>
          <w:color w:val="000000"/>
          <w:sz w:val="24"/>
          <w:szCs w:val="24"/>
        </w:rPr>
      </w:pPr>
      <w:r>
        <w:rPr>
          <w:rFonts w:ascii="Times New Roman" w:hAnsi="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b/>
          <w:color w:val="000000"/>
          <w:sz w:val="24"/>
          <w:szCs w:val="24"/>
        </w:rPr>
        <w:t xml:space="preserve">є: </w:t>
      </w:r>
    </w:p>
    <w:p w:rsidR="00A70244" w:rsidRPr="00F969E6" w:rsidRDefault="00A70244" w:rsidP="00A70244">
      <w:pPr>
        <w:numPr>
          <w:ilvl w:val="0"/>
          <w:numId w:val="2"/>
        </w:numPr>
        <w:shd w:val="clear" w:color="auto" w:fill="FFFFFF"/>
        <w:spacing w:after="0" w:line="240" w:lineRule="auto"/>
        <w:ind w:left="566" w:firstLine="566"/>
        <w:jc w:val="both"/>
        <w:rPr>
          <w:rFonts w:ascii="Times New Roman" w:hAnsi="Times New Roman"/>
          <w:sz w:val="24"/>
          <w:szCs w:val="24"/>
        </w:rPr>
      </w:pPr>
      <w:r w:rsidRPr="00F969E6">
        <w:rPr>
          <w:rFonts w:ascii="Times New Roman" w:hAnsi="Times New Roman"/>
          <w:sz w:val="24"/>
          <w:szCs w:val="24"/>
        </w:rPr>
        <w:t xml:space="preserve"> технічна специфікація, складена учасником згідно </w:t>
      </w:r>
      <w:r w:rsidRPr="00F969E6">
        <w:rPr>
          <w:rFonts w:ascii="Times New Roman" w:hAnsi="Times New Roman"/>
          <w:b/>
          <w:i/>
          <w:iCs/>
          <w:sz w:val="24"/>
          <w:szCs w:val="24"/>
        </w:rPr>
        <w:t>Таблиці 1</w:t>
      </w:r>
      <w:r w:rsidRPr="00F969E6">
        <w:rPr>
          <w:rFonts w:ascii="Times New Roman" w:hAnsi="Times New Roman"/>
          <w:sz w:val="24"/>
          <w:szCs w:val="24"/>
        </w:rPr>
        <w:t xml:space="preserve"> та </w:t>
      </w:r>
      <w:r w:rsidRPr="00F969E6">
        <w:rPr>
          <w:rFonts w:ascii="Times New Roman" w:hAnsi="Times New Roman"/>
          <w:b/>
          <w:i/>
          <w:iCs/>
          <w:sz w:val="24"/>
          <w:szCs w:val="24"/>
        </w:rPr>
        <w:t xml:space="preserve">Таблиці 2. </w:t>
      </w:r>
    </w:p>
    <w:p w:rsidR="00A70244" w:rsidRDefault="00A70244" w:rsidP="00A70244">
      <w:pPr>
        <w:shd w:val="clear" w:color="auto" w:fill="FFFFFF"/>
        <w:spacing w:after="0" w:line="240" w:lineRule="auto"/>
        <w:ind w:left="7200" w:firstLine="720"/>
        <w:jc w:val="both"/>
        <w:rPr>
          <w:rFonts w:ascii="Times New Roman" w:hAnsi="Times New Roman"/>
          <w:b/>
          <w:i/>
          <w:sz w:val="24"/>
          <w:szCs w:val="24"/>
          <w:highlight w:val="white"/>
        </w:rPr>
      </w:pPr>
      <w:r>
        <w:rPr>
          <w:rFonts w:ascii="Times New Roman" w:hAnsi="Times New Roman"/>
          <w:b/>
          <w:i/>
          <w:sz w:val="24"/>
          <w:szCs w:val="24"/>
          <w:highlight w:val="white"/>
        </w:rPr>
        <w:t xml:space="preserve">   </w:t>
      </w:r>
    </w:p>
    <w:p w:rsidR="00A70244" w:rsidRDefault="00A70244" w:rsidP="00A70244">
      <w:pPr>
        <w:shd w:val="clear" w:color="auto" w:fill="FFFFFF"/>
        <w:spacing w:after="0" w:line="240" w:lineRule="auto"/>
        <w:ind w:left="7200" w:firstLine="720"/>
        <w:jc w:val="right"/>
        <w:rPr>
          <w:rFonts w:ascii="Times New Roman" w:hAnsi="Times New Roman"/>
          <w:b/>
          <w:i/>
          <w:sz w:val="24"/>
          <w:szCs w:val="24"/>
          <w:highlight w:val="white"/>
        </w:rPr>
      </w:pPr>
      <w:r>
        <w:rPr>
          <w:rFonts w:ascii="Times New Roman" w:hAnsi="Times New Roman"/>
          <w:b/>
          <w:i/>
          <w:sz w:val="24"/>
          <w:szCs w:val="24"/>
          <w:highlight w:val="white"/>
        </w:rPr>
        <w:t xml:space="preserve"> Таблиця 2</w:t>
      </w:r>
    </w:p>
    <w:tbl>
      <w:tblPr>
        <w:tblW w:w="96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53"/>
        <w:gridCol w:w="1108"/>
        <w:gridCol w:w="1843"/>
        <w:gridCol w:w="1842"/>
        <w:gridCol w:w="1135"/>
        <w:gridCol w:w="1418"/>
        <w:gridCol w:w="1700"/>
      </w:tblGrid>
      <w:tr w:rsidR="00A70244" w:rsidRPr="00A82221" w:rsidTr="000C5C8E">
        <w:trPr>
          <w:trHeight w:val="992"/>
        </w:trPr>
        <w:tc>
          <w:tcPr>
            <w:tcW w:w="653"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bookmarkStart w:id="1" w:name="_heading=h.gjdgxs" w:colFirst="0" w:colLast="0"/>
            <w:bookmarkEnd w:id="1"/>
            <w:r w:rsidRPr="00A82221">
              <w:rPr>
                <w:rFonts w:ascii="Times New Roman" w:hAnsi="Times New Roman"/>
                <w:i/>
                <w:sz w:val="20"/>
                <w:szCs w:val="20"/>
                <w:highlight w:val="white"/>
              </w:rPr>
              <w:t>№ п/п</w:t>
            </w:r>
          </w:p>
        </w:tc>
        <w:tc>
          <w:tcPr>
            <w:tcW w:w="1108" w:type="dxa"/>
          </w:tcPr>
          <w:p w:rsidR="00A70244" w:rsidRPr="00A82221" w:rsidRDefault="00A70244" w:rsidP="000C5C8E">
            <w:pPr>
              <w:spacing w:after="0" w:line="240" w:lineRule="auto"/>
              <w:jc w:val="center"/>
              <w:rPr>
                <w:rFonts w:ascii="Times New Roman" w:hAnsi="Times New Roman"/>
                <w:i/>
                <w:iCs/>
                <w:sz w:val="20"/>
                <w:szCs w:val="20"/>
              </w:rPr>
            </w:pPr>
            <w:r w:rsidRPr="00A82221">
              <w:rPr>
                <w:rFonts w:ascii="Times New Roman" w:hAnsi="Times New Roman"/>
                <w:i/>
                <w:iCs/>
                <w:sz w:val="20"/>
                <w:szCs w:val="20"/>
              </w:rPr>
              <w:t>МНН/</w:t>
            </w:r>
          </w:p>
          <w:p w:rsidR="00A70244" w:rsidRPr="00A82221" w:rsidRDefault="00A70244" w:rsidP="000C5C8E">
            <w:pPr>
              <w:spacing w:after="0" w:line="240" w:lineRule="auto"/>
              <w:jc w:val="center"/>
              <w:rPr>
                <w:rFonts w:ascii="Times New Roman" w:hAnsi="Times New Roman"/>
                <w:i/>
                <w:iCs/>
                <w:sz w:val="20"/>
                <w:szCs w:val="20"/>
                <w:highlight w:val="white"/>
              </w:rPr>
            </w:pPr>
            <w:r w:rsidRPr="00A82221">
              <w:rPr>
                <w:rFonts w:ascii="Times New Roman" w:hAnsi="Times New Roman"/>
                <w:i/>
                <w:iCs/>
                <w:sz w:val="20"/>
                <w:szCs w:val="20"/>
              </w:rPr>
              <w:t>Код НК 024:2023</w:t>
            </w:r>
          </w:p>
        </w:tc>
        <w:tc>
          <w:tcPr>
            <w:tcW w:w="1843"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r w:rsidRPr="00A82221">
              <w:rPr>
                <w:rFonts w:ascii="Times New Roman" w:hAnsi="Times New Roman"/>
                <w:i/>
                <w:sz w:val="20"/>
                <w:szCs w:val="20"/>
                <w:highlight w:val="white"/>
              </w:rPr>
              <w:t>Найменування  товару</w:t>
            </w:r>
          </w:p>
        </w:tc>
        <w:tc>
          <w:tcPr>
            <w:tcW w:w="1842"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r w:rsidRPr="00A82221">
              <w:rPr>
                <w:rFonts w:ascii="Times New Roman" w:hAnsi="Times New Roman"/>
                <w:i/>
                <w:sz w:val="20"/>
                <w:szCs w:val="20"/>
                <w:highlight w:val="white"/>
              </w:rPr>
              <w:t>Од. виміру</w:t>
            </w:r>
          </w:p>
        </w:tc>
        <w:tc>
          <w:tcPr>
            <w:tcW w:w="1135"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r w:rsidRPr="00A82221">
              <w:rPr>
                <w:rFonts w:ascii="Times New Roman" w:hAnsi="Times New Roman"/>
                <w:i/>
                <w:sz w:val="20"/>
                <w:szCs w:val="20"/>
                <w:highlight w:val="white"/>
              </w:rPr>
              <w:t>Кількість</w:t>
            </w:r>
          </w:p>
        </w:tc>
        <w:tc>
          <w:tcPr>
            <w:tcW w:w="1418"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r w:rsidRPr="00A82221">
              <w:rPr>
                <w:rFonts w:ascii="Times New Roman" w:hAnsi="Times New Roman"/>
                <w:i/>
                <w:sz w:val="20"/>
                <w:szCs w:val="20"/>
              </w:rPr>
              <w:t>Виробник товару*</w:t>
            </w:r>
          </w:p>
        </w:tc>
        <w:tc>
          <w:tcPr>
            <w:tcW w:w="1700"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r w:rsidRPr="00A82221">
              <w:rPr>
                <w:rFonts w:ascii="Times New Roman" w:hAnsi="Times New Roman"/>
                <w:i/>
                <w:sz w:val="20"/>
                <w:szCs w:val="20"/>
                <w:highlight w:val="white"/>
              </w:rPr>
              <w:t>Країна  походження товару**</w:t>
            </w:r>
          </w:p>
        </w:tc>
      </w:tr>
      <w:tr w:rsidR="00A70244" w:rsidRPr="00A82221" w:rsidTr="000C5C8E">
        <w:trPr>
          <w:trHeight w:val="272"/>
        </w:trPr>
        <w:tc>
          <w:tcPr>
            <w:tcW w:w="653"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lang w:val="en-US"/>
              </w:rPr>
            </w:pPr>
          </w:p>
        </w:tc>
        <w:tc>
          <w:tcPr>
            <w:tcW w:w="1108" w:type="dxa"/>
          </w:tcPr>
          <w:p w:rsidR="00A70244" w:rsidRPr="00A82221" w:rsidRDefault="00A70244" w:rsidP="000C5C8E">
            <w:pPr>
              <w:spacing w:after="0" w:line="240" w:lineRule="auto"/>
              <w:jc w:val="center"/>
              <w:rPr>
                <w:rFonts w:ascii="Times New Roman" w:hAnsi="Times New Roman"/>
                <w:i/>
                <w:sz w:val="20"/>
                <w:szCs w:val="20"/>
                <w:highlight w:val="white"/>
              </w:rPr>
            </w:pPr>
          </w:p>
        </w:tc>
        <w:tc>
          <w:tcPr>
            <w:tcW w:w="1843"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p>
        </w:tc>
        <w:tc>
          <w:tcPr>
            <w:tcW w:w="1842"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p>
        </w:tc>
        <w:tc>
          <w:tcPr>
            <w:tcW w:w="1135"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p>
        </w:tc>
        <w:tc>
          <w:tcPr>
            <w:tcW w:w="1418"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p>
        </w:tc>
        <w:tc>
          <w:tcPr>
            <w:tcW w:w="1700" w:type="dxa"/>
            <w:tcMar>
              <w:top w:w="100" w:type="dxa"/>
              <w:left w:w="100" w:type="dxa"/>
              <w:bottom w:w="100" w:type="dxa"/>
              <w:right w:w="100" w:type="dxa"/>
            </w:tcMar>
          </w:tcPr>
          <w:p w:rsidR="00A70244" w:rsidRPr="00A82221" w:rsidRDefault="00A70244" w:rsidP="000C5C8E">
            <w:pPr>
              <w:spacing w:after="0" w:line="240" w:lineRule="auto"/>
              <w:jc w:val="center"/>
              <w:rPr>
                <w:rFonts w:ascii="Times New Roman" w:hAnsi="Times New Roman"/>
                <w:i/>
                <w:sz w:val="20"/>
                <w:szCs w:val="20"/>
                <w:highlight w:val="white"/>
              </w:rPr>
            </w:pPr>
          </w:p>
        </w:tc>
      </w:tr>
      <w:tr w:rsidR="00A70244" w:rsidRPr="00A82221" w:rsidTr="000C5C8E">
        <w:trPr>
          <w:trHeight w:val="128"/>
        </w:trPr>
        <w:tc>
          <w:tcPr>
            <w:tcW w:w="653" w:type="dxa"/>
            <w:tcMar>
              <w:top w:w="100" w:type="dxa"/>
              <w:left w:w="100" w:type="dxa"/>
              <w:bottom w:w="100" w:type="dxa"/>
              <w:right w:w="100" w:type="dxa"/>
            </w:tcMar>
          </w:tcPr>
          <w:p w:rsidR="00A70244" w:rsidRPr="00A82221" w:rsidRDefault="00A70244" w:rsidP="000C5C8E">
            <w:pPr>
              <w:spacing w:after="0" w:line="240" w:lineRule="auto"/>
              <w:jc w:val="both"/>
              <w:rPr>
                <w:rFonts w:ascii="Times New Roman" w:hAnsi="Times New Roman"/>
                <w:i/>
                <w:color w:val="FF0000"/>
                <w:sz w:val="20"/>
                <w:szCs w:val="20"/>
                <w:highlight w:val="white"/>
              </w:rPr>
            </w:pPr>
          </w:p>
        </w:tc>
        <w:tc>
          <w:tcPr>
            <w:tcW w:w="1108" w:type="dxa"/>
          </w:tcPr>
          <w:p w:rsidR="00A70244" w:rsidRPr="00A82221" w:rsidRDefault="00A70244" w:rsidP="000C5C8E">
            <w:pPr>
              <w:spacing w:after="0" w:line="240" w:lineRule="auto"/>
              <w:jc w:val="both"/>
              <w:rPr>
                <w:rFonts w:ascii="Times New Roman" w:hAnsi="Times New Roman"/>
                <w:i/>
                <w:color w:val="FF0000"/>
                <w:sz w:val="20"/>
                <w:szCs w:val="20"/>
                <w:highlight w:val="white"/>
              </w:rPr>
            </w:pPr>
          </w:p>
        </w:tc>
        <w:tc>
          <w:tcPr>
            <w:tcW w:w="1843" w:type="dxa"/>
            <w:tcMar>
              <w:top w:w="100" w:type="dxa"/>
              <w:left w:w="100" w:type="dxa"/>
              <w:bottom w:w="100" w:type="dxa"/>
              <w:right w:w="100" w:type="dxa"/>
            </w:tcMar>
          </w:tcPr>
          <w:p w:rsidR="00A70244" w:rsidRPr="00A82221" w:rsidRDefault="00A70244" w:rsidP="000C5C8E">
            <w:pPr>
              <w:spacing w:after="0" w:line="240" w:lineRule="auto"/>
              <w:jc w:val="both"/>
              <w:rPr>
                <w:rFonts w:ascii="Times New Roman" w:hAnsi="Times New Roman"/>
                <w:i/>
                <w:color w:val="FF0000"/>
                <w:sz w:val="20"/>
                <w:szCs w:val="20"/>
                <w:highlight w:val="white"/>
              </w:rPr>
            </w:pPr>
          </w:p>
        </w:tc>
        <w:tc>
          <w:tcPr>
            <w:tcW w:w="1842" w:type="dxa"/>
            <w:tcMar>
              <w:top w:w="100" w:type="dxa"/>
              <w:left w:w="100" w:type="dxa"/>
              <w:bottom w:w="100" w:type="dxa"/>
              <w:right w:w="100" w:type="dxa"/>
            </w:tcMar>
          </w:tcPr>
          <w:p w:rsidR="00A70244" w:rsidRPr="00A82221" w:rsidRDefault="00A70244" w:rsidP="000C5C8E">
            <w:pPr>
              <w:spacing w:after="0" w:line="240" w:lineRule="auto"/>
              <w:jc w:val="both"/>
              <w:rPr>
                <w:rFonts w:ascii="Times New Roman" w:hAnsi="Times New Roman"/>
                <w:i/>
                <w:color w:val="FF0000"/>
                <w:sz w:val="20"/>
                <w:szCs w:val="20"/>
                <w:highlight w:val="white"/>
              </w:rPr>
            </w:pPr>
          </w:p>
        </w:tc>
        <w:tc>
          <w:tcPr>
            <w:tcW w:w="1135" w:type="dxa"/>
            <w:tcMar>
              <w:top w:w="100" w:type="dxa"/>
              <w:left w:w="100" w:type="dxa"/>
              <w:bottom w:w="100" w:type="dxa"/>
              <w:right w:w="100" w:type="dxa"/>
            </w:tcMar>
          </w:tcPr>
          <w:p w:rsidR="00A70244" w:rsidRPr="00A82221" w:rsidRDefault="00A70244" w:rsidP="000C5C8E">
            <w:pPr>
              <w:spacing w:after="0" w:line="240" w:lineRule="auto"/>
              <w:jc w:val="both"/>
              <w:rPr>
                <w:rFonts w:ascii="Times New Roman" w:hAnsi="Times New Roman"/>
                <w:i/>
                <w:color w:val="FF0000"/>
                <w:sz w:val="20"/>
                <w:szCs w:val="20"/>
                <w:highlight w:val="white"/>
              </w:rPr>
            </w:pPr>
          </w:p>
        </w:tc>
        <w:tc>
          <w:tcPr>
            <w:tcW w:w="1418" w:type="dxa"/>
            <w:tcMar>
              <w:top w:w="100" w:type="dxa"/>
              <w:left w:w="100" w:type="dxa"/>
              <w:bottom w:w="100" w:type="dxa"/>
              <w:right w:w="100" w:type="dxa"/>
            </w:tcMar>
          </w:tcPr>
          <w:p w:rsidR="00A70244" w:rsidRPr="00A82221" w:rsidRDefault="00A70244" w:rsidP="000C5C8E">
            <w:pPr>
              <w:spacing w:after="0" w:line="240" w:lineRule="auto"/>
              <w:jc w:val="both"/>
              <w:rPr>
                <w:rFonts w:ascii="Times New Roman" w:hAnsi="Times New Roman"/>
                <w:i/>
                <w:color w:val="FF0000"/>
                <w:sz w:val="20"/>
                <w:szCs w:val="20"/>
                <w:highlight w:val="white"/>
              </w:rPr>
            </w:pPr>
          </w:p>
        </w:tc>
        <w:tc>
          <w:tcPr>
            <w:tcW w:w="1700" w:type="dxa"/>
            <w:tcMar>
              <w:top w:w="100" w:type="dxa"/>
              <w:left w:w="100" w:type="dxa"/>
              <w:bottom w:w="100" w:type="dxa"/>
              <w:right w:w="100" w:type="dxa"/>
            </w:tcMar>
          </w:tcPr>
          <w:p w:rsidR="00A70244" w:rsidRPr="00A82221" w:rsidRDefault="00A70244" w:rsidP="000C5C8E">
            <w:pPr>
              <w:spacing w:after="0" w:line="240" w:lineRule="auto"/>
              <w:jc w:val="both"/>
              <w:rPr>
                <w:rFonts w:ascii="Times New Roman" w:hAnsi="Times New Roman"/>
                <w:i/>
                <w:color w:val="FF0000"/>
                <w:sz w:val="20"/>
                <w:szCs w:val="20"/>
                <w:highlight w:val="white"/>
              </w:rPr>
            </w:pPr>
          </w:p>
        </w:tc>
      </w:tr>
    </w:tbl>
    <w:p w:rsidR="00A70244" w:rsidRPr="00FD0B1A" w:rsidRDefault="00A70244" w:rsidP="00A70244">
      <w:pPr>
        <w:shd w:val="clear" w:color="auto" w:fill="FFFFFF"/>
        <w:spacing w:after="0" w:line="240" w:lineRule="auto"/>
        <w:jc w:val="both"/>
        <w:rPr>
          <w:rFonts w:ascii="Times New Roman" w:hAnsi="Times New Roman"/>
          <w:i/>
          <w:sz w:val="24"/>
          <w:szCs w:val="24"/>
        </w:rPr>
      </w:pPr>
    </w:p>
    <w:p w:rsidR="00A70244" w:rsidRDefault="00A70244" w:rsidP="00A70244">
      <w:pPr>
        <w:spacing w:after="0" w:line="240" w:lineRule="auto"/>
        <w:ind w:firstLine="283"/>
        <w:jc w:val="both"/>
        <w:rPr>
          <w:rFonts w:ascii="Times New Roman" w:hAnsi="Times New Roman"/>
          <w:i/>
        </w:rPr>
      </w:pPr>
      <w:r>
        <w:rPr>
          <w:rFonts w:ascii="Times New Roman" w:hAnsi="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70244" w:rsidRDefault="00A70244" w:rsidP="00A70244">
      <w:pPr>
        <w:spacing w:after="0" w:line="240" w:lineRule="auto"/>
        <w:ind w:firstLine="283"/>
        <w:jc w:val="both"/>
        <w:rPr>
          <w:rFonts w:ascii="Times New Roman" w:hAnsi="Times New Roman"/>
          <w:i/>
        </w:rPr>
      </w:pPr>
      <w:r>
        <w:rPr>
          <w:rFonts w:ascii="Times New Roman" w:hAnsi="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70244" w:rsidRDefault="00A70244" w:rsidP="00A70244">
      <w:pPr>
        <w:spacing w:after="0" w:line="240" w:lineRule="auto"/>
        <w:ind w:firstLine="283"/>
        <w:jc w:val="both"/>
        <w:rPr>
          <w:rFonts w:ascii="Times New Roman" w:hAnsi="Times New Roman"/>
          <w:b/>
          <w:i/>
          <w:sz w:val="24"/>
          <w:szCs w:val="24"/>
        </w:rPr>
      </w:pPr>
    </w:p>
    <w:p w:rsidR="00A70244" w:rsidRDefault="00A70244" w:rsidP="00A70244">
      <w:pPr>
        <w:shd w:val="clear" w:color="auto" w:fill="FFFFFF"/>
        <w:spacing w:after="0" w:line="240" w:lineRule="auto"/>
        <w:jc w:val="both"/>
        <w:rPr>
          <w:rFonts w:ascii="Times New Roman" w:hAnsi="Times New Roman"/>
          <w:b/>
          <w:i/>
          <w:sz w:val="24"/>
          <w:szCs w:val="24"/>
        </w:rPr>
      </w:pPr>
    </w:p>
    <w:p w:rsidR="00A70244" w:rsidRPr="006A3DCD" w:rsidRDefault="00A70244" w:rsidP="00A70244">
      <w:pPr>
        <w:shd w:val="clear" w:color="auto" w:fill="FFFFFF"/>
        <w:spacing w:after="0" w:line="240" w:lineRule="auto"/>
        <w:ind w:firstLine="460"/>
        <w:jc w:val="both"/>
        <w:rPr>
          <w:rFonts w:ascii="Times New Roman" w:hAnsi="Times New Roman"/>
          <w:b/>
          <w:i/>
          <w:sz w:val="24"/>
          <w:szCs w:val="24"/>
        </w:rPr>
      </w:pPr>
      <w:r w:rsidRPr="006A3DCD">
        <w:rPr>
          <w:rFonts w:ascii="Times New Roman" w:hAnsi="Times New Roman"/>
          <w:b/>
          <w:i/>
          <w:sz w:val="24"/>
          <w:szCs w:val="24"/>
        </w:rPr>
        <w:t xml:space="preserve"> Обґрунтування:</w:t>
      </w:r>
    </w:p>
    <w:p w:rsidR="00A70244" w:rsidRPr="00CA25E4" w:rsidRDefault="00A70244" w:rsidP="00A70244">
      <w:pPr>
        <w:shd w:val="clear" w:color="auto" w:fill="FFFFFF"/>
        <w:spacing w:after="0" w:line="240" w:lineRule="auto"/>
        <w:ind w:firstLine="720"/>
        <w:jc w:val="both"/>
        <w:rPr>
          <w:rFonts w:ascii="Times New Roman" w:hAnsi="Times New Roman"/>
          <w:b/>
          <w:i/>
          <w:iCs/>
          <w:sz w:val="24"/>
          <w:szCs w:val="24"/>
        </w:rPr>
      </w:pPr>
      <w:r w:rsidRPr="00CA25E4">
        <w:rPr>
          <w:rFonts w:ascii="Times New Roman" w:hAnsi="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70244" w:rsidRPr="00FD0B1A" w:rsidRDefault="00A70244" w:rsidP="00A70244">
      <w:pPr>
        <w:shd w:val="clear" w:color="auto" w:fill="FFFFFF"/>
        <w:spacing w:after="0" w:line="240" w:lineRule="auto"/>
        <w:ind w:firstLine="460"/>
        <w:jc w:val="both"/>
        <w:rPr>
          <w:rFonts w:ascii="Times New Roman" w:hAnsi="Times New Roman"/>
          <w:i/>
          <w:sz w:val="24"/>
          <w:szCs w:val="24"/>
        </w:rPr>
      </w:pPr>
      <w:r>
        <w:rPr>
          <w:rFonts w:ascii="Times New Roman" w:hAnsi="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w:t>
      </w:r>
      <w:proofErr w:type="spellStart"/>
      <w:r>
        <w:rPr>
          <w:rFonts w:ascii="Times New Roman" w:hAnsi="Times New Roman"/>
          <w:i/>
          <w:sz w:val="24"/>
          <w:szCs w:val="24"/>
        </w:rPr>
        <w:t>медико-технічними</w:t>
      </w:r>
      <w:proofErr w:type="spellEnd"/>
      <w:r>
        <w:rPr>
          <w:rFonts w:ascii="Times New Roman" w:hAnsi="Times New Roman"/>
          <w:i/>
          <w:sz w:val="24"/>
          <w:szCs w:val="24"/>
        </w:rPr>
        <w:t xml:space="preserve"> характеристиками найбільше відповідатиме вимогам та потребам замовника. Тому для дотримання принципів Закону, а </w:t>
      </w:r>
      <w:r w:rsidRPr="00FD0B1A">
        <w:rPr>
          <w:rFonts w:ascii="Times New Roman" w:hAnsi="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A70244" w:rsidRPr="00A82221" w:rsidRDefault="00A70244" w:rsidP="00A70244">
      <w:pPr>
        <w:spacing w:after="0"/>
        <w:contextualSpacing/>
        <w:jc w:val="both"/>
        <w:rPr>
          <w:rFonts w:ascii="Times New Roman" w:eastAsia="Calibri" w:hAnsi="Times New Roman"/>
          <w:bCs/>
        </w:rPr>
      </w:pPr>
    </w:p>
    <w:p w:rsidR="00A70244" w:rsidRPr="00036008" w:rsidRDefault="00A70244" w:rsidP="00A70244">
      <w:pPr>
        <w:spacing w:after="0" w:line="240" w:lineRule="auto"/>
        <w:jc w:val="both"/>
        <w:rPr>
          <w:rFonts w:ascii="Times New Roman" w:hAnsi="Times New Roman"/>
          <w:i/>
          <w:sz w:val="24"/>
          <w:szCs w:val="24"/>
        </w:rPr>
      </w:pPr>
      <w:r w:rsidRPr="00036008">
        <w:rPr>
          <w:rFonts w:ascii="Times New Roman" w:hAnsi="Times New Roman"/>
          <w:b/>
          <w:i/>
          <w:sz w:val="24"/>
          <w:szCs w:val="24"/>
        </w:rPr>
        <w:t>*</w:t>
      </w:r>
      <w:r w:rsidRPr="00036008">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36008">
        <w:rPr>
          <w:rFonts w:ascii="Times New Roman" w:hAnsi="Times New Roman"/>
          <w:b/>
          <w:i/>
          <w:sz w:val="24"/>
          <w:szCs w:val="24"/>
        </w:rPr>
        <w:t xml:space="preserve"> «або еквівалент », </w:t>
      </w:r>
      <w:r w:rsidRPr="00036008">
        <w:rPr>
          <w:rFonts w:ascii="Times New Roman" w:hAnsi="Times New Roman"/>
          <w:i/>
          <w:sz w:val="24"/>
          <w:szCs w:val="24"/>
        </w:rPr>
        <w:t>який включений до Переліку лікарських  засобів, дозволених до закупівлі за бюджетні кошти.</w:t>
      </w:r>
    </w:p>
    <w:p w:rsidR="00A70244" w:rsidRPr="00036008" w:rsidRDefault="00A70244" w:rsidP="00A70244">
      <w:pPr>
        <w:spacing w:after="0" w:line="240" w:lineRule="auto"/>
        <w:jc w:val="both"/>
        <w:rPr>
          <w:rFonts w:ascii="Times New Roman" w:hAnsi="Times New Roman"/>
          <w:sz w:val="24"/>
          <w:szCs w:val="24"/>
        </w:rPr>
      </w:pPr>
    </w:p>
    <w:tbl>
      <w:tblPr>
        <w:tblW w:w="0" w:type="auto"/>
        <w:tblInd w:w="108" w:type="dxa"/>
        <w:tblLook w:val="01E0"/>
      </w:tblPr>
      <w:tblGrid>
        <w:gridCol w:w="4567"/>
        <w:gridCol w:w="4896"/>
      </w:tblGrid>
      <w:tr w:rsidR="00A70244" w:rsidRPr="00D25512" w:rsidTr="000C5C8E">
        <w:trPr>
          <w:trHeight w:val="68"/>
        </w:trPr>
        <w:tc>
          <w:tcPr>
            <w:tcW w:w="4567" w:type="dxa"/>
            <w:hideMark/>
          </w:tcPr>
          <w:p w:rsidR="00A70244" w:rsidRPr="00D25512" w:rsidRDefault="00A70244" w:rsidP="000C5C8E">
            <w:pPr>
              <w:spacing w:after="0" w:line="240" w:lineRule="auto"/>
              <w:rPr>
                <w:rFonts w:ascii="Times New Roman" w:hAnsi="Times New Roman"/>
                <w:b/>
                <w:sz w:val="24"/>
                <w:szCs w:val="24"/>
              </w:rPr>
            </w:pPr>
            <w:r w:rsidRPr="00D25512">
              <w:rPr>
                <w:rFonts w:ascii="Times New Roman" w:hAnsi="Times New Roman"/>
                <w:b/>
                <w:bCs/>
                <w:sz w:val="24"/>
                <w:szCs w:val="24"/>
              </w:rPr>
              <w:t>УВАГА!!!</w:t>
            </w:r>
          </w:p>
        </w:tc>
        <w:tc>
          <w:tcPr>
            <w:tcW w:w="4896" w:type="dxa"/>
          </w:tcPr>
          <w:p w:rsidR="00A70244" w:rsidRPr="00D25512" w:rsidRDefault="00A70244" w:rsidP="000C5C8E">
            <w:pPr>
              <w:spacing w:after="0" w:line="240" w:lineRule="auto"/>
              <w:rPr>
                <w:rFonts w:ascii="Times New Roman" w:hAnsi="Times New Roman"/>
                <w:sz w:val="24"/>
                <w:szCs w:val="24"/>
              </w:rPr>
            </w:pPr>
          </w:p>
        </w:tc>
      </w:tr>
    </w:tbl>
    <w:p w:rsidR="00A70244" w:rsidRPr="00A63582" w:rsidRDefault="00A70244" w:rsidP="00A70244">
      <w:pPr>
        <w:widowControl w:val="0"/>
        <w:suppressAutoHyphens/>
        <w:spacing w:after="0" w:line="240" w:lineRule="auto"/>
        <w:jc w:val="both"/>
        <w:rPr>
          <w:rFonts w:ascii="Times New Roman" w:hAnsi="Times New Roman"/>
          <w:color w:val="000000"/>
          <w:sz w:val="24"/>
          <w:szCs w:val="24"/>
        </w:rPr>
      </w:pPr>
      <w:r w:rsidRPr="00D25512">
        <w:rPr>
          <w:rFonts w:ascii="Times New Roman" w:hAnsi="Times New Roman"/>
          <w:b/>
          <w:i/>
          <w:kern w:val="2"/>
          <w:sz w:val="24"/>
          <w:szCs w:val="24"/>
        </w:rPr>
        <w:t xml:space="preserve">У разі подання пропозиції, що не відповідає </w:t>
      </w:r>
      <w:proofErr w:type="spellStart"/>
      <w:r w:rsidRPr="00D25512">
        <w:rPr>
          <w:rFonts w:ascii="Times New Roman" w:hAnsi="Times New Roman"/>
          <w:b/>
          <w:i/>
          <w:kern w:val="2"/>
          <w:sz w:val="24"/>
          <w:szCs w:val="24"/>
        </w:rPr>
        <w:t>медико-технічним</w:t>
      </w:r>
      <w:proofErr w:type="spellEnd"/>
      <w:r w:rsidRPr="00D25512">
        <w:rPr>
          <w:rFonts w:ascii="Times New Roman" w:hAnsi="Times New Roman"/>
          <w:b/>
          <w:i/>
          <w:kern w:val="2"/>
          <w:sz w:val="24"/>
          <w:szCs w:val="24"/>
        </w:rPr>
        <w:t xml:space="preserve"> вимогам,  така </w:t>
      </w:r>
      <w:r w:rsidRPr="009D5466">
        <w:rPr>
          <w:rFonts w:ascii="Times New Roman" w:hAnsi="Times New Roman"/>
          <w:b/>
          <w:i/>
          <w:color w:val="FF0000"/>
          <w:kern w:val="2"/>
          <w:sz w:val="24"/>
          <w:szCs w:val="24"/>
        </w:rPr>
        <w:t>пропозиція буде відхилена як така , що не відповідає вимогам документації відкритих торгів</w:t>
      </w:r>
      <w:r w:rsidRPr="003A71ED">
        <w:rPr>
          <w:rFonts w:ascii="Times New Roman" w:hAnsi="Times New Roman"/>
          <w:b/>
          <w:i/>
          <w:kern w:val="2"/>
          <w:sz w:val="24"/>
          <w:szCs w:val="24"/>
        </w:rPr>
        <w:t xml:space="preserve"> </w:t>
      </w:r>
    </w:p>
    <w:p w:rsidR="00E7465F" w:rsidRPr="00024EA2" w:rsidRDefault="00E7465F" w:rsidP="00E7465F">
      <w:pPr>
        <w:spacing w:after="0"/>
        <w:contextualSpacing/>
        <w:jc w:val="both"/>
        <w:rPr>
          <w:rFonts w:ascii="Times New Roman" w:eastAsia="Calibri" w:hAnsi="Times New Roman"/>
          <w:bCs/>
        </w:rPr>
      </w:pPr>
    </w:p>
    <w:p w:rsidR="00E7465F" w:rsidRDefault="00E7465F" w:rsidP="00E7465F">
      <w:pPr>
        <w:spacing w:after="0"/>
        <w:contextualSpacing/>
        <w:jc w:val="both"/>
        <w:rPr>
          <w:rFonts w:ascii="Times New Roman" w:eastAsia="Calibri" w:hAnsi="Times New Roman"/>
          <w:bCs/>
        </w:rPr>
      </w:pPr>
    </w:p>
    <w:tbl>
      <w:tblPr>
        <w:tblW w:w="9571" w:type="dxa"/>
        <w:tblLook w:val="0000"/>
      </w:tblPr>
      <w:tblGrid>
        <w:gridCol w:w="668"/>
        <w:gridCol w:w="3297"/>
        <w:gridCol w:w="2456"/>
        <w:gridCol w:w="241"/>
        <w:gridCol w:w="1450"/>
        <w:gridCol w:w="1459"/>
      </w:tblGrid>
      <w:tr w:rsidR="00E7465F" w:rsidRPr="00105A68" w:rsidTr="00BE766F">
        <w:trPr>
          <w:trHeight w:val="69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 xml:space="preserve">№ </w:t>
            </w:r>
          </w:p>
          <w:p w:rsidR="00E7465F" w:rsidRPr="00F422B5" w:rsidRDefault="00E7465F" w:rsidP="00BE766F">
            <w:pPr>
              <w:pStyle w:val="a3"/>
              <w:jc w:val="center"/>
              <w:rPr>
                <w:rFonts w:ascii="Times New Roman" w:hAnsi="Times New Roman"/>
                <w:sz w:val="28"/>
                <w:szCs w:val="28"/>
                <w:lang w:eastAsia="uk-UA"/>
              </w:rPr>
            </w:pPr>
          </w:p>
        </w:tc>
        <w:tc>
          <w:tcPr>
            <w:tcW w:w="4157" w:type="dxa"/>
            <w:tcBorders>
              <w:top w:val="single" w:sz="4" w:space="0" w:color="auto"/>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color w:val="000000"/>
                <w:sz w:val="28"/>
                <w:szCs w:val="28"/>
              </w:rPr>
              <w:t>Торгівельна назва лікарського засобу, форма випуску, дозування</w:t>
            </w:r>
          </w:p>
        </w:tc>
        <w:tc>
          <w:tcPr>
            <w:tcW w:w="1065" w:type="dxa"/>
            <w:tcBorders>
              <w:top w:val="single" w:sz="4" w:space="0" w:color="auto"/>
              <w:left w:val="nil"/>
              <w:bottom w:val="single" w:sz="4" w:space="0" w:color="auto"/>
              <w:right w:val="single" w:sz="4" w:space="0" w:color="auto"/>
            </w:tcBorders>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color w:val="000000"/>
                <w:sz w:val="28"/>
                <w:szCs w:val="28"/>
              </w:rPr>
              <w:t>Міжнародна непатентована назва лікарського засобу</w:t>
            </w:r>
          </w:p>
        </w:tc>
        <w:tc>
          <w:tcPr>
            <w:tcW w:w="257" w:type="dxa"/>
            <w:tcBorders>
              <w:top w:val="single" w:sz="4" w:space="0" w:color="auto"/>
              <w:left w:val="single" w:sz="4" w:space="0" w:color="auto"/>
              <w:bottom w:val="single" w:sz="4" w:space="0" w:color="auto"/>
              <w:right w:val="nil"/>
            </w:tcBorders>
          </w:tcPr>
          <w:p w:rsidR="00E7465F" w:rsidRPr="00F422B5" w:rsidRDefault="00E7465F" w:rsidP="00BE766F">
            <w:pPr>
              <w:pStyle w:val="a3"/>
              <w:jc w:val="center"/>
              <w:rPr>
                <w:rFonts w:ascii="Times New Roman" w:hAnsi="Times New Roman"/>
                <w:sz w:val="28"/>
                <w:szCs w:val="28"/>
                <w:lang w:eastAsia="uk-UA"/>
              </w:rPr>
            </w:pPr>
          </w:p>
        </w:tc>
        <w:tc>
          <w:tcPr>
            <w:tcW w:w="1546" w:type="dxa"/>
            <w:tcBorders>
              <w:top w:val="single" w:sz="4" w:space="0" w:color="auto"/>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Кількість</w:t>
            </w:r>
          </w:p>
        </w:tc>
        <w:tc>
          <w:tcPr>
            <w:tcW w:w="1722" w:type="dxa"/>
            <w:tcBorders>
              <w:top w:val="single" w:sz="4" w:space="0" w:color="auto"/>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proofErr w:type="spellStart"/>
            <w:r w:rsidRPr="00F422B5">
              <w:rPr>
                <w:rFonts w:ascii="Times New Roman" w:hAnsi="Times New Roman"/>
                <w:sz w:val="28"/>
                <w:szCs w:val="28"/>
                <w:lang w:eastAsia="uk-UA"/>
              </w:rPr>
              <w:t>Од.вим</w:t>
            </w:r>
            <w:proofErr w:type="spellEnd"/>
          </w:p>
        </w:tc>
      </w:tr>
      <w:tr w:rsidR="00E7465F" w:rsidRPr="00C54119" w:rsidTr="00BE766F">
        <w:trPr>
          <w:trHeight w:val="315"/>
        </w:trPr>
        <w:tc>
          <w:tcPr>
            <w:tcW w:w="824" w:type="dxa"/>
            <w:tcBorders>
              <w:top w:val="nil"/>
              <w:left w:val="single" w:sz="4" w:space="0" w:color="auto"/>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1</w:t>
            </w:r>
          </w:p>
        </w:tc>
        <w:tc>
          <w:tcPr>
            <w:tcW w:w="4157" w:type="dxa"/>
            <w:tcBorders>
              <w:top w:val="nil"/>
              <w:left w:val="nil"/>
              <w:bottom w:val="single" w:sz="4" w:space="0" w:color="auto"/>
              <w:right w:val="single" w:sz="4" w:space="0" w:color="auto"/>
            </w:tcBorders>
            <w:shd w:val="clear" w:color="auto" w:fill="auto"/>
            <w:vAlign w:val="center"/>
          </w:tcPr>
          <w:p w:rsidR="00E7465F" w:rsidRPr="00F422B5" w:rsidRDefault="00E7465F" w:rsidP="00BE766F">
            <w:pPr>
              <w:pStyle w:val="a3"/>
              <w:rPr>
                <w:rFonts w:ascii="Times New Roman" w:hAnsi="Times New Roman"/>
                <w:b/>
                <w:i/>
                <w:sz w:val="28"/>
                <w:szCs w:val="28"/>
                <w:lang w:eastAsia="uk-UA"/>
              </w:rPr>
            </w:pPr>
            <w:proofErr w:type="spellStart"/>
            <w:r w:rsidRPr="00F422B5">
              <w:rPr>
                <w:rFonts w:ascii="Times New Roman" w:hAnsi="Times New Roman"/>
                <w:color w:val="000000"/>
                <w:sz w:val="28"/>
                <w:szCs w:val="28"/>
              </w:rPr>
              <w:t>Метилергобревін</w:t>
            </w:r>
            <w:proofErr w:type="spellEnd"/>
            <w:r w:rsidRPr="00F422B5">
              <w:rPr>
                <w:rFonts w:ascii="Times New Roman" w:hAnsi="Times New Roman"/>
                <w:color w:val="000000"/>
                <w:sz w:val="28"/>
                <w:szCs w:val="28"/>
              </w:rPr>
              <w:t xml:space="preserve"> розчин </w:t>
            </w:r>
            <w:r w:rsidRPr="00F422B5">
              <w:rPr>
                <w:rFonts w:ascii="Times New Roman" w:hAnsi="Times New Roman"/>
                <w:color w:val="000000"/>
                <w:sz w:val="28"/>
                <w:szCs w:val="28"/>
              </w:rPr>
              <w:lastRenderedPageBreak/>
              <w:t>для ін’єкцій 0,2 мг/</w:t>
            </w:r>
            <w:proofErr w:type="spellStart"/>
            <w:r w:rsidRPr="00F422B5">
              <w:rPr>
                <w:rFonts w:ascii="Times New Roman" w:hAnsi="Times New Roman"/>
                <w:color w:val="000000"/>
                <w:sz w:val="28"/>
                <w:szCs w:val="28"/>
              </w:rPr>
              <w:t>мл</w:t>
            </w:r>
            <w:proofErr w:type="spellEnd"/>
            <w:r w:rsidRPr="00F422B5">
              <w:rPr>
                <w:rFonts w:ascii="Times New Roman" w:hAnsi="Times New Roman"/>
                <w:color w:val="000000"/>
                <w:sz w:val="28"/>
                <w:szCs w:val="28"/>
              </w:rPr>
              <w:t xml:space="preserve"> по 1 </w:t>
            </w:r>
            <w:proofErr w:type="spellStart"/>
            <w:r w:rsidRPr="00F422B5">
              <w:rPr>
                <w:rFonts w:ascii="Times New Roman" w:hAnsi="Times New Roman"/>
                <w:color w:val="000000"/>
                <w:sz w:val="28"/>
                <w:szCs w:val="28"/>
              </w:rPr>
              <w:t>мл</w:t>
            </w:r>
            <w:proofErr w:type="spellEnd"/>
            <w:r w:rsidRPr="00F422B5">
              <w:rPr>
                <w:rFonts w:ascii="Times New Roman" w:hAnsi="Times New Roman"/>
                <w:color w:val="000000"/>
                <w:sz w:val="28"/>
                <w:szCs w:val="28"/>
              </w:rPr>
              <w:t xml:space="preserve"> в ампулі №50</w:t>
            </w:r>
          </w:p>
        </w:tc>
        <w:tc>
          <w:tcPr>
            <w:tcW w:w="1065" w:type="dxa"/>
            <w:tcBorders>
              <w:top w:val="single" w:sz="4" w:space="0" w:color="auto"/>
              <w:left w:val="nil"/>
              <w:bottom w:val="single" w:sz="4" w:space="0" w:color="auto"/>
              <w:right w:val="single" w:sz="4" w:space="0" w:color="auto"/>
            </w:tcBorders>
          </w:tcPr>
          <w:p w:rsidR="00E7465F" w:rsidRPr="00F422B5" w:rsidRDefault="00E7465F" w:rsidP="00BE766F">
            <w:pPr>
              <w:pStyle w:val="a3"/>
              <w:jc w:val="center"/>
              <w:rPr>
                <w:rFonts w:ascii="Times New Roman" w:hAnsi="Times New Roman"/>
                <w:b/>
                <w:i/>
                <w:sz w:val="28"/>
                <w:szCs w:val="28"/>
                <w:lang w:eastAsia="uk-UA"/>
              </w:rPr>
            </w:pPr>
            <w:proofErr w:type="spellStart"/>
            <w:r w:rsidRPr="00F422B5">
              <w:rPr>
                <w:rFonts w:ascii="Times New Roman" w:hAnsi="Times New Roman"/>
                <w:color w:val="000000"/>
                <w:sz w:val="28"/>
                <w:szCs w:val="28"/>
              </w:rPr>
              <w:lastRenderedPageBreak/>
              <w:t>Methylergometrine</w:t>
            </w:r>
            <w:proofErr w:type="spellEnd"/>
            <w:r w:rsidRPr="00F422B5">
              <w:rPr>
                <w:rFonts w:ascii="Times New Roman" w:hAnsi="Times New Roman"/>
                <w:color w:val="000000"/>
                <w:sz w:val="28"/>
                <w:szCs w:val="28"/>
              </w:rPr>
              <w:t xml:space="preserve">/ </w:t>
            </w:r>
            <w:proofErr w:type="spellStart"/>
            <w:r w:rsidRPr="00F422B5">
              <w:rPr>
                <w:rFonts w:ascii="Times New Roman" w:hAnsi="Times New Roman"/>
                <w:color w:val="000000"/>
                <w:sz w:val="28"/>
                <w:szCs w:val="28"/>
              </w:rPr>
              <w:lastRenderedPageBreak/>
              <w:t>Метилергометрин</w:t>
            </w:r>
            <w:proofErr w:type="spellEnd"/>
          </w:p>
        </w:tc>
        <w:tc>
          <w:tcPr>
            <w:tcW w:w="257" w:type="dxa"/>
            <w:tcBorders>
              <w:top w:val="single" w:sz="4" w:space="0" w:color="auto"/>
              <w:left w:val="single" w:sz="4" w:space="0" w:color="auto"/>
              <w:bottom w:val="single" w:sz="4" w:space="0" w:color="auto"/>
              <w:right w:val="nil"/>
            </w:tcBorders>
          </w:tcPr>
          <w:p w:rsidR="00E7465F" w:rsidRPr="00F422B5" w:rsidRDefault="00E7465F" w:rsidP="00BE766F">
            <w:pPr>
              <w:pStyle w:val="a3"/>
              <w:jc w:val="center"/>
              <w:rPr>
                <w:rFonts w:ascii="Times New Roman" w:hAnsi="Times New Roman"/>
                <w:b/>
                <w:i/>
                <w:sz w:val="28"/>
                <w:szCs w:val="28"/>
                <w:lang w:eastAsia="uk-UA"/>
              </w:rPr>
            </w:pPr>
          </w:p>
        </w:tc>
        <w:tc>
          <w:tcPr>
            <w:tcW w:w="1546" w:type="dxa"/>
            <w:tcBorders>
              <w:top w:val="nil"/>
              <w:left w:val="nil"/>
              <w:bottom w:val="single" w:sz="4" w:space="0" w:color="auto"/>
              <w:right w:val="single" w:sz="4" w:space="0" w:color="auto"/>
            </w:tcBorders>
            <w:shd w:val="clear" w:color="auto" w:fill="auto"/>
            <w:vAlign w:val="center"/>
          </w:tcPr>
          <w:p w:rsidR="00E7465F" w:rsidRPr="00F422B5" w:rsidRDefault="00E7465F" w:rsidP="00BE766F">
            <w:pPr>
              <w:pStyle w:val="a3"/>
              <w:jc w:val="center"/>
              <w:rPr>
                <w:rFonts w:ascii="Times New Roman" w:hAnsi="Times New Roman"/>
                <w:sz w:val="28"/>
                <w:szCs w:val="28"/>
                <w:lang w:eastAsia="uk-UA"/>
              </w:rPr>
            </w:pPr>
            <w:r w:rsidRPr="00F422B5">
              <w:rPr>
                <w:rFonts w:ascii="Times New Roman" w:hAnsi="Times New Roman"/>
                <w:sz w:val="28"/>
                <w:szCs w:val="28"/>
                <w:lang w:eastAsia="uk-UA"/>
              </w:rPr>
              <w:t>250</w:t>
            </w:r>
          </w:p>
        </w:tc>
        <w:tc>
          <w:tcPr>
            <w:tcW w:w="1722" w:type="dxa"/>
            <w:tcBorders>
              <w:top w:val="nil"/>
              <w:left w:val="nil"/>
              <w:bottom w:val="single" w:sz="4" w:space="0" w:color="auto"/>
              <w:right w:val="single" w:sz="4" w:space="0" w:color="auto"/>
            </w:tcBorders>
            <w:shd w:val="clear" w:color="auto" w:fill="auto"/>
          </w:tcPr>
          <w:p w:rsidR="00E7465F" w:rsidRPr="00F422B5" w:rsidRDefault="0052176F" w:rsidP="00BE766F">
            <w:pPr>
              <w:pStyle w:val="a3"/>
              <w:jc w:val="center"/>
              <w:rPr>
                <w:rFonts w:ascii="Times New Roman" w:hAnsi="Times New Roman"/>
                <w:sz w:val="28"/>
                <w:szCs w:val="28"/>
                <w:lang w:eastAsia="uk-UA"/>
              </w:rPr>
            </w:pPr>
            <w:r>
              <w:rPr>
                <w:rFonts w:ascii="Times New Roman" w:hAnsi="Times New Roman"/>
                <w:sz w:val="28"/>
                <w:szCs w:val="28"/>
                <w:lang w:eastAsia="uk-UA"/>
              </w:rPr>
              <w:t>амп</w:t>
            </w:r>
          </w:p>
          <w:p w:rsidR="00E7465F" w:rsidRPr="00F422B5" w:rsidRDefault="00E7465F" w:rsidP="00BE766F">
            <w:pPr>
              <w:pStyle w:val="a3"/>
              <w:jc w:val="center"/>
              <w:rPr>
                <w:rFonts w:ascii="Times New Roman" w:hAnsi="Times New Roman"/>
                <w:sz w:val="28"/>
                <w:szCs w:val="28"/>
              </w:rPr>
            </w:pPr>
            <w:r w:rsidRPr="00F422B5">
              <w:rPr>
                <w:rFonts w:ascii="Times New Roman" w:hAnsi="Times New Roman"/>
                <w:sz w:val="28"/>
                <w:szCs w:val="28"/>
                <w:lang w:eastAsia="uk-UA"/>
              </w:rPr>
              <w:lastRenderedPageBreak/>
              <w:t xml:space="preserve">Ампула </w:t>
            </w:r>
          </w:p>
        </w:tc>
      </w:tr>
      <w:tr w:rsidR="00E7465F" w:rsidRPr="00105A68" w:rsidTr="00BE766F">
        <w:trPr>
          <w:trHeight w:val="315"/>
        </w:trPr>
        <w:tc>
          <w:tcPr>
            <w:tcW w:w="824" w:type="dxa"/>
            <w:tcBorders>
              <w:top w:val="nil"/>
              <w:left w:val="nil"/>
              <w:bottom w:val="nil"/>
              <w:right w:val="nil"/>
            </w:tcBorders>
            <w:shd w:val="clear" w:color="auto" w:fill="auto"/>
            <w:vAlign w:val="center"/>
          </w:tcPr>
          <w:p w:rsidR="00E7465F" w:rsidRPr="009F2C96" w:rsidRDefault="00E7465F" w:rsidP="00BE766F">
            <w:pPr>
              <w:jc w:val="center"/>
              <w:rPr>
                <w:rFonts w:ascii="Times New Roman" w:hAnsi="Times New Roman"/>
                <w:highlight w:val="yellow"/>
                <w:lang w:eastAsia="uk-UA"/>
              </w:rPr>
            </w:pPr>
          </w:p>
        </w:tc>
        <w:tc>
          <w:tcPr>
            <w:tcW w:w="4157" w:type="dxa"/>
            <w:tcBorders>
              <w:top w:val="nil"/>
              <w:left w:val="nil"/>
              <w:bottom w:val="nil"/>
              <w:right w:val="nil"/>
            </w:tcBorders>
            <w:shd w:val="clear" w:color="auto" w:fill="auto"/>
            <w:vAlign w:val="center"/>
          </w:tcPr>
          <w:p w:rsidR="00E7465F" w:rsidRPr="00105A68" w:rsidRDefault="00E7465F" w:rsidP="00BE766F">
            <w:pPr>
              <w:rPr>
                <w:rFonts w:ascii="Times New Roman" w:hAnsi="Times New Roman"/>
                <w:lang w:eastAsia="uk-UA"/>
              </w:rPr>
            </w:pPr>
          </w:p>
        </w:tc>
        <w:tc>
          <w:tcPr>
            <w:tcW w:w="1322" w:type="dxa"/>
            <w:gridSpan w:val="2"/>
            <w:tcBorders>
              <w:left w:val="nil"/>
              <w:bottom w:val="nil"/>
              <w:right w:val="nil"/>
            </w:tcBorders>
          </w:tcPr>
          <w:p w:rsidR="00E7465F" w:rsidRPr="00132E74" w:rsidRDefault="00E7465F" w:rsidP="00BE766F">
            <w:pPr>
              <w:jc w:val="center"/>
              <w:rPr>
                <w:rFonts w:ascii="Times New Roman" w:hAnsi="Times New Roman"/>
                <w:b/>
                <w:i/>
                <w:lang w:eastAsia="uk-UA"/>
              </w:rPr>
            </w:pPr>
          </w:p>
        </w:tc>
        <w:tc>
          <w:tcPr>
            <w:tcW w:w="1546" w:type="dxa"/>
            <w:tcBorders>
              <w:top w:val="nil"/>
              <w:left w:val="nil"/>
              <w:bottom w:val="nil"/>
              <w:right w:val="nil"/>
            </w:tcBorders>
            <w:shd w:val="clear" w:color="auto" w:fill="auto"/>
            <w:vAlign w:val="center"/>
          </w:tcPr>
          <w:p w:rsidR="00E7465F" w:rsidRPr="00132E74" w:rsidRDefault="00E7465F" w:rsidP="00BE766F">
            <w:pPr>
              <w:jc w:val="center"/>
              <w:rPr>
                <w:rFonts w:ascii="Times New Roman" w:hAnsi="Times New Roman"/>
                <w:b/>
                <w:i/>
                <w:lang w:eastAsia="uk-UA"/>
              </w:rPr>
            </w:pPr>
          </w:p>
        </w:tc>
        <w:tc>
          <w:tcPr>
            <w:tcW w:w="1722" w:type="dxa"/>
            <w:tcBorders>
              <w:top w:val="nil"/>
              <w:left w:val="nil"/>
              <w:bottom w:val="nil"/>
              <w:right w:val="nil"/>
            </w:tcBorders>
            <w:shd w:val="clear" w:color="auto" w:fill="auto"/>
            <w:vAlign w:val="center"/>
          </w:tcPr>
          <w:p w:rsidR="00E7465F" w:rsidRPr="00132E74" w:rsidRDefault="00E7465F" w:rsidP="00BE766F">
            <w:pPr>
              <w:jc w:val="right"/>
              <w:rPr>
                <w:rFonts w:ascii="Times New Roman" w:hAnsi="Times New Roman"/>
                <w:b/>
                <w:bCs/>
                <w:i/>
                <w:lang w:eastAsia="uk-UA"/>
              </w:rPr>
            </w:pPr>
          </w:p>
        </w:tc>
      </w:tr>
    </w:tbl>
    <w:p w:rsidR="00E7465F" w:rsidRPr="00F02226" w:rsidRDefault="00E7465F" w:rsidP="00E7465F">
      <w:pPr>
        <w:spacing w:after="0"/>
        <w:contextualSpacing/>
        <w:jc w:val="both"/>
        <w:rPr>
          <w:rFonts w:ascii="Times New Roman" w:eastAsia="Calibri" w:hAnsi="Times New Roman"/>
          <w:bCs/>
        </w:rPr>
      </w:pPr>
    </w:p>
    <w:p w:rsidR="003E7999" w:rsidRPr="004621EB" w:rsidRDefault="003E7999" w:rsidP="003E7999">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(або на офіційному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3E7999" w:rsidRPr="004621EB" w:rsidRDefault="003E7999" w:rsidP="003E7999">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Примірної методики</w:t>
      </w:r>
      <w:r w:rsidRPr="004621EB">
        <w:rPr>
          <w:rStyle w:val="h-hidden"/>
          <w:rFonts w:ascii="Times New Roman" w:hAnsi="Times New Roman" w:cs="Times New Roman"/>
          <w:color w:val="333333"/>
          <w:sz w:val="16"/>
          <w:szCs w:val="16"/>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прайс-листах</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в електронній системі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),а також до уваги взято ціни на товари , які є предметом закупівлі 202</w:t>
      </w:r>
      <w:r>
        <w:rPr>
          <w:rStyle w:val="h-hidden"/>
          <w:rFonts w:ascii="Times New Roman" w:hAnsi="Times New Roman" w:cs="Times New Roman"/>
          <w:color w:val="333333"/>
          <w:sz w:val="16"/>
          <w:szCs w:val="16"/>
          <w:bdr w:val="none" w:sz="0" w:space="0" w:color="auto" w:frame="1"/>
          <w:shd w:val="clear" w:color="auto" w:fill="FFFFFF"/>
        </w:rPr>
        <w:t>4</w:t>
      </w:r>
      <w:r w:rsidRPr="004621EB">
        <w:rPr>
          <w:rStyle w:val="h-hidden"/>
          <w:rFonts w:ascii="Times New Roman" w:hAnsi="Times New Roman" w:cs="Times New Roman"/>
          <w:color w:val="333333"/>
          <w:sz w:val="16"/>
          <w:szCs w:val="16"/>
          <w:bdr w:val="none" w:sz="0" w:space="0" w:color="auto" w:frame="1"/>
          <w:shd w:val="clear" w:color="auto" w:fill="FFFFFF"/>
        </w:rPr>
        <w:t xml:space="preserve">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3E7999" w:rsidRDefault="003E7999" w:rsidP="003E7999">
      <w:pPr>
        <w:autoSpaceDE w:val="0"/>
        <w:autoSpaceDN w:val="0"/>
        <w:jc w:val="both"/>
        <w:rPr>
          <w:rFonts w:ascii="Times New Roman" w:hAnsi="Times New Roman"/>
          <w:bCs/>
        </w:rPr>
      </w:pPr>
    </w:p>
    <w:p w:rsidR="003E7999"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367602" w:rsidRDefault="00367602"/>
    <w:sectPr w:rsidR="00367602" w:rsidSect="00CE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EFA3D72"/>
    <w:multiLevelType w:val="hybridMultilevel"/>
    <w:tmpl w:val="1C2ADBE0"/>
    <w:lvl w:ilvl="0" w:tplc="8E4800F2">
      <w:start w:val="1"/>
      <w:numFmt w:val="decimal"/>
      <w:lvlText w:val="%1."/>
      <w:lvlJc w:val="left"/>
      <w:pPr>
        <w:ind w:left="720" w:hanging="360"/>
      </w:pPr>
    </w:lvl>
    <w:lvl w:ilvl="1" w:tplc="92066040">
      <w:start w:val="1"/>
      <w:numFmt w:val="decimal"/>
      <w:lvlText w:val="%2."/>
      <w:lvlJc w:val="left"/>
      <w:pPr>
        <w:tabs>
          <w:tab w:val="num" w:pos="1440"/>
        </w:tabs>
        <w:ind w:left="1440" w:hanging="360"/>
      </w:pPr>
    </w:lvl>
    <w:lvl w:ilvl="2" w:tplc="1304BF04">
      <w:start w:val="1"/>
      <w:numFmt w:val="decimal"/>
      <w:lvlText w:val="%3."/>
      <w:lvlJc w:val="left"/>
      <w:pPr>
        <w:tabs>
          <w:tab w:val="num" w:pos="2160"/>
        </w:tabs>
        <w:ind w:left="2160" w:hanging="360"/>
      </w:pPr>
    </w:lvl>
    <w:lvl w:ilvl="3" w:tplc="B2B2EAEA">
      <w:start w:val="1"/>
      <w:numFmt w:val="decimal"/>
      <w:lvlText w:val="%4."/>
      <w:lvlJc w:val="left"/>
      <w:pPr>
        <w:tabs>
          <w:tab w:val="num" w:pos="2880"/>
        </w:tabs>
        <w:ind w:left="2880" w:hanging="360"/>
      </w:pPr>
    </w:lvl>
    <w:lvl w:ilvl="4" w:tplc="9D16EB4C">
      <w:start w:val="1"/>
      <w:numFmt w:val="decimal"/>
      <w:lvlText w:val="%5."/>
      <w:lvlJc w:val="left"/>
      <w:pPr>
        <w:tabs>
          <w:tab w:val="num" w:pos="3600"/>
        </w:tabs>
        <w:ind w:left="3600" w:hanging="360"/>
      </w:pPr>
    </w:lvl>
    <w:lvl w:ilvl="5" w:tplc="86AC1EA8">
      <w:start w:val="1"/>
      <w:numFmt w:val="decimal"/>
      <w:lvlText w:val="%6."/>
      <w:lvlJc w:val="left"/>
      <w:pPr>
        <w:tabs>
          <w:tab w:val="num" w:pos="4320"/>
        </w:tabs>
        <w:ind w:left="4320" w:hanging="360"/>
      </w:pPr>
    </w:lvl>
    <w:lvl w:ilvl="6" w:tplc="74962310">
      <w:start w:val="1"/>
      <w:numFmt w:val="decimal"/>
      <w:lvlText w:val="%7."/>
      <w:lvlJc w:val="left"/>
      <w:pPr>
        <w:tabs>
          <w:tab w:val="num" w:pos="5040"/>
        </w:tabs>
        <w:ind w:left="5040" w:hanging="360"/>
      </w:pPr>
    </w:lvl>
    <w:lvl w:ilvl="7" w:tplc="9E9A10F4">
      <w:start w:val="1"/>
      <w:numFmt w:val="decimal"/>
      <w:lvlText w:val="%8."/>
      <w:lvlJc w:val="left"/>
      <w:pPr>
        <w:tabs>
          <w:tab w:val="num" w:pos="5760"/>
        </w:tabs>
        <w:ind w:left="5760" w:hanging="360"/>
      </w:pPr>
    </w:lvl>
    <w:lvl w:ilvl="8" w:tplc="D91ECD06">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999"/>
    <w:rsid w:val="00071694"/>
    <w:rsid w:val="000F0108"/>
    <w:rsid w:val="00367602"/>
    <w:rsid w:val="003D644C"/>
    <w:rsid w:val="003E7999"/>
    <w:rsid w:val="0052176F"/>
    <w:rsid w:val="00622987"/>
    <w:rsid w:val="007A59FE"/>
    <w:rsid w:val="00A70244"/>
    <w:rsid w:val="00DA5A60"/>
    <w:rsid w:val="00E7465F"/>
    <w:rsid w:val="00E922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3E7999"/>
  </w:style>
  <w:style w:type="paragraph" w:styleId="a3">
    <w:name w:val="No Spacing"/>
    <w:link w:val="a4"/>
    <w:uiPriority w:val="99"/>
    <w:qFormat/>
    <w:rsid w:val="003E7999"/>
    <w:pPr>
      <w:spacing w:after="0" w:line="240" w:lineRule="auto"/>
    </w:pPr>
  </w:style>
  <w:style w:type="character" w:customStyle="1" w:styleId="a4">
    <w:name w:val="Без інтервалів Знак"/>
    <w:link w:val="a3"/>
    <w:uiPriority w:val="99"/>
    <w:rsid w:val="003E7999"/>
  </w:style>
  <w:style w:type="character" w:styleId="a5">
    <w:name w:val="Hyperlink"/>
    <w:uiPriority w:val="99"/>
    <w:unhideWhenUsed/>
    <w:rsid w:val="00E7465F"/>
    <w:rPr>
      <w:color w:val="0000FF"/>
      <w:u w:val="single"/>
    </w:rPr>
  </w:style>
  <w:style w:type="paragraph" w:styleId="a6">
    <w:name w:val="List Paragraph"/>
    <w:basedOn w:val="a"/>
    <w:link w:val="a7"/>
    <w:uiPriority w:val="34"/>
    <w:qFormat/>
    <w:rsid w:val="00A70244"/>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7">
    <w:name w:val="Абзац списку Знак"/>
    <w:link w:val="a6"/>
    <w:uiPriority w:val="34"/>
    <w:locked/>
    <w:rsid w:val="00A70244"/>
    <w:rPr>
      <w:rFonts w:ascii="UkrainianBaltica" w:eastAsia="Times New Roman" w:hAnsi="UkrainianBaltica"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ivli.pro/cabinet/purchases/state_plan/view/285215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5065</Words>
  <Characters>2888</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2024-02-23T12:48:00Z</dcterms:created>
  <dcterms:modified xsi:type="dcterms:W3CDTF">2024-04-23T10:18:00Z</dcterms:modified>
</cp:coreProperties>
</file>