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AA" w:rsidRPr="002627DA" w:rsidRDefault="006365AA" w:rsidP="006365A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365AA" w:rsidRDefault="006365AA" w:rsidP="006365AA">
      <w:pPr>
        <w:spacing w:after="0"/>
        <w:jc w:val="center"/>
        <w:rPr>
          <w:rFonts w:ascii="Times New Roman" w:hAnsi="Times New Roman" w:cs="Times New Roman"/>
          <w:b/>
          <w:sz w:val="24"/>
          <w:szCs w:val="24"/>
          <w:shd w:val="clear" w:color="auto" w:fill="FFFFFF"/>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w:t>
      </w:r>
      <w:r>
        <w:rPr>
          <w:rFonts w:ascii="Times New Roman" w:eastAsia="Times New Roman" w:hAnsi="Times New Roman" w:cs="Times New Roman"/>
          <w:color w:val="0E1D2F"/>
          <w:sz w:val="20"/>
          <w:szCs w:val="20"/>
          <w:lang w:eastAsia="uk-UA"/>
        </w:rPr>
        <w:t xml:space="preserve"> </w:t>
      </w:r>
      <w:r w:rsidRPr="00C613BC">
        <w:rPr>
          <w:rFonts w:ascii="Times New Roman" w:eastAsia="Times New Roman" w:hAnsi="Times New Roman" w:cs="Times New Roman"/>
          <w:color w:val="0E1D2F"/>
          <w:sz w:val="20"/>
          <w:szCs w:val="20"/>
          <w:lang w:eastAsia="uk-UA"/>
        </w:rPr>
        <w:t xml:space="preserve"> </w:t>
      </w:r>
      <w:proofErr w:type="spellStart"/>
      <w:r w:rsidRPr="00E361D8">
        <w:rPr>
          <w:rFonts w:ascii="Times New Roman" w:hAnsi="Times New Roman" w:cs="Times New Roman"/>
          <w:b/>
          <w:sz w:val="24"/>
          <w:szCs w:val="24"/>
          <w:shd w:val="clear" w:color="auto" w:fill="FFFFFF"/>
        </w:rPr>
        <w:t>ДК</w:t>
      </w:r>
      <w:proofErr w:type="spellEnd"/>
      <w:r w:rsidRPr="00E361D8">
        <w:rPr>
          <w:rFonts w:ascii="Times New Roman" w:hAnsi="Times New Roman" w:cs="Times New Roman"/>
          <w:b/>
          <w:sz w:val="24"/>
          <w:szCs w:val="24"/>
          <w:shd w:val="clear" w:color="auto" w:fill="FFFFFF"/>
        </w:rPr>
        <w:t xml:space="preserve"> 021:2015 90520000-8 Послуги у сфері поводження з радіоактивними, токсичними, медичними та небезпечними відходами (</w:t>
      </w:r>
      <w:r w:rsidRPr="00F261A3">
        <w:rPr>
          <w:rFonts w:ascii="Times New Roman" w:eastAsia="Times New Roman" w:hAnsi="Times New Roman" w:cs="Times New Roman"/>
          <w:b/>
          <w:iCs/>
          <w:sz w:val="24"/>
          <w:szCs w:val="24"/>
          <w:lang w:eastAsia="ru-RU"/>
        </w:rPr>
        <w:t>управління небезпечними відходами</w:t>
      </w:r>
      <w:r w:rsidRPr="00E361D8">
        <w:rPr>
          <w:rFonts w:ascii="Times New Roman" w:hAnsi="Times New Roman" w:cs="Times New Roman"/>
          <w:b/>
          <w:sz w:val="24"/>
          <w:szCs w:val="24"/>
          <w:shd w:val="clear" w:color="auto" w:fill="FFFFFF"/>
        </w:rPr>
        <w:t>)</w:t>
      </w:r>
    </w:p>
    <w:p w:rsidR="006365AA" w:rsidRDefault="006365AA" w:rsidP="006365AA">
      <w:pPr>
        <w:jc w:val="center"/>
        <w:rPr>
          <w:rFonts w:ascii="Times New Roman" w:hAnsi="Times New Roman" w:cs="Times New Roman"/>
          <w:b/>
          <w:sz w:val="28"/>
          <w:szCs w:val="28"/>
        </w:rPr>
      </w:pPr>
    </w:p>
    <w:p w:rsidR="006365AA" w:rsidRPr="002627DA" w:rsidRDefault="006365AA" w:rsidP="006365AA">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6365AA" w:rsidRDefault="006365AA" w:rsidP="006365A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6365AA">
        <w:rPr>
          <w:rFonts w:ascii="Times New Roman" w:eastAsia="Times New Roman" w:hAnsi="Times New Roman" w:cs="Times New Roman"/>
          <w:b/>
          <w:i/>
          <w:color w:val="0E1D2F"/>
          <w:sz w:val="20"/>
          <w:szCs w:val="20"/>
          <w:lang w:eastAsia="uk-UA"/>
        </w:rPr>
        <w:t>Обґрунтування обсягів закупівлі</w:t>
      </w:r>
      <w:r w:rsidRPr="002627DA">
        <w:rPr>
          <w:rFonts w:ascii="Times New Roman" w:eastAsia="Times New Roman" w:hAnsi="Times New Roman" w:cs="Times New Roman"/>
          <w:color w:val="0E1D2F"/>
          <w:sz w:val="20"/>
          <w:szCs w:val="20"/>
          <w:lang w:eastAsia="uk-UA"/>
        </w:rPr>
        <w:t xml:space="preserve">. </w:t>
      </w:r>
    </w:p>
    <w:p w:rsidR="006365AA" w:rsidRDefault="006365AA" w:rsidP="006365AA">
      <w:pPr>
        <w:shd w:val="clear" w:color="auto" w:fill="FFFFFF"/>
        <w:spacing w:before="100" w:beforeAutospacing="1" w:after="100" w:afterAutospacing="1" w:line="240" w:lineRule="auto"/>
        <w:rPr>
          <w:rFonts w:ascii="Times New Roman" w:hAnsi="Times New Roman" w:cs="Times New Roman"/>
          <w:sz w:val="20"/>
          <w:szCs w:val="20"/>
        </w:rPr>
      </w:pPr>
      <w:r w:rsidRPr="006365AA">
        <w:rPr>
          <w:rFonts w:ascii="Times New Roman" w:eastAsia="Times New Roman" w:hAnsi="Times New Roman" w:cs="Times New Roman"/>
          <w:color w:val="0E1D2F"/>
          <w:sz w:val="20"/>
          <w:szCs w:val="20"/>
          <w:lang w:eastAsia="uk-UA"/>
        </w:rPr>
        <w:t xml:space="preserve">Обсяги визначено відповідно до очікуваної потреби, обрахованої Замовником на основі фактично поведених досліджень  у попередньому році та обсягу фінансування, а також на підставі потреби закладу  , затвердженої генеральним директором, </w:t>
      </w:r>
      <w:r>
        <w:rPr>
          <w:rFonts w:ascii="Times New Roman" w:eastAsia="Times New Roman" w:hAnsi="Times New Roman" w:cs="Times New Roman"/>
          <w:color w:val="0E1D2F"/>
          <w:sz w:val="20"/>
          <w:szCs w:val="20"/>
          <w:lang w:eastAsia="uk-UA"/>
        </w:rPr>
        <w:t xml:space="preserve"> існує </w:t>
      </w:r>
      <w:r w:rsidRPr="006365AA">
        <w:rPr>
          <w:rFonts w:ascii="Times New Roman" w:hAnsi="Times New Roman" w:cs="Times New Roman"/>
          <w:sz w:val="20"/>
          <w:szCs w:val="20"/>
        </w:rPr>
        <w:t xml:space="preserve">необхідність проведення  процедури – відкриті торги з особливостями для закупівлі  </w:t>
      </w:r>
      <w:proofErr w:type="spellStart"/>
      <w:r w:rsidRPr="006365AA">
        <w:rPr>
          <w:rFonts w:ascii="Times New Roman" w:hAnsi="Times New Roman" w:cs="Times New Roman"/>
          <w:b/>
          <w:sz w:val="20"/>
          <w:szCs w:val="20"/>
          <w:shd w:val="clear" w:color="auto" w:fill="FFFFFF"/>
        </w:rPr>
        <w:t>ДК</w:t>
      </w:r>
      <w:proofErr w:type="spellEnd"/>
      <w:r w:rsidRPr="006365AA">
        <w:rPr>
          <w:rFonts w:ascii="Times New Roman" w:hAnsi="Times New Roman" w:cs="Times New Roman"/>
          <w:b/>
          <w:sz w:val="20"/>
          <w:szCs w:val="20"/>
          <w:shd w:val="clear" w:color="auto" w:fill="FFFFFF"/>
        </w:rPr>
        <w:t xml:space="preserve"> 021:2015 90520000-8 Послуги у сфері поводження з радіоактивними, токсичними, медичними та небезпечними відходами (</w:t>
      </w:r>
      <w:r w:rsidRPr="006365AA">
        <w:rPr>
          <w:rFonts w:ascii="Times New Roman" w:eastAsia="Times New Roman" w:hAnsi="Times New Roman" w:cs="Times New Roman"/>
          <w:b/>
          <w:iCs/>
          <w:sz w:val="20"/>
          <w:szCs w:val="20"/>
          <w:lang w:eastAsia="ru-RU"/>
        </w:rPr>
        <w:t>управління небезпечними відходами</w:t>
      </w:r>
      <w:r w:rsidRPr="006365AA">
        <w:rPr>
          <w:rFonts w:ascii="Times New Roman" w:hAnsi="Times New Roman" w:cs="Times New Roman"/>
          <w:b/>
          <w:sz w:val="20"/>
          <w:szCs w:val="20"/>
          <w:shd w:val="clear" w:color="auto" w:fill="FFFFFF"/>
        </w:rPr>
        <w:t>)</w:t>
      </w:r>
      <w:r w:rsidRPr="006365AA">
        <w:rPr>
          <w:rFonts w:ascii="Times New Roman" w:hAnsi="Times New Roman"/>
          <w:b/>
          <w:color w:val="333333"/>
          <w:sz w:val="20"/>
          <w:szCs w:val="20"/>
          <w:bdr w:val="none" w:sz="0" w:space="0" w:color="auto" w:frame="1"/>
        </w:rPr>
        <w:t xml:space="preserve"> на  </w:t>
      </w:r>
      <w:r w:rsidRPr="006365AA">
        <w:rPr>
          <w:rFonts w:ascii="Times New Roman" w:hAnsi="Times New Roman" w:cs="Times New Roman"/>
          <w:sz w:val="20"/>
          <w:szCs w:val="20"/>
        </w:rPr>
        <w:t>2024 р. Очікувана вартість даної закупівлі становить  згідно моніторингу цін 22</w:t>
      </w:r>
      <w:r>
        <w:rPr>
          <w:rFonts w:ascii="Times New Roman" w:hAnsi="Times New Roman" w:cs="Times New Roman"/>
          <w:sz w:val="20"/>
          <w:szCs w:val="20"/>
        </w:rPr>
        <w:t xml:space="preserve">2 </w:t>
      </w:r>
      <w:r w:rsidRPr="006365AA">
        <w:rPr>
          <w:rFonts w:ascii="Times New Roman" w:hAnsi="Times New Roman" w:cs="Times New Roman"/>
          <w:sz w:val="20"/>
          <w:szCs w:val="20"/>
        </w:rPr>
        <w:t>800,00   грн. з ПДВ на 2024 р.</w:t>
      </w:r>
      <w:r w:rsidRPr="006365AA">
        <w:rPr>
          <w:rFonts w:ascii="Times New Roman" w:hAnsi="Times New Roman" w:cs="Times New Roman"/>
          <w:bCs/>
          <w:sz w:val="20"/>
          <w:szCs w:val="20"/>
        </w:rPr>
        <w:t xml:space="preserve">, </w:t>
      </w:r>
      <w:r>
        <w:rPr>
          <w:rFonts w:ascii="Times New Roman" w:hAnsi="Times New Roman" w:cs="Times New Roman"/>
          <w:bCs/>
          <w:sz w:val="20"/>
          <w:szCs w:val="20"/>
        </w:rPr>
        <w:t xml:space="preserve">для </w:t>
      </w:r>
      <w:r w:rsidRPr="006365AA">
        <w:rPr>
          <w:rFonts w:ascii="Times New Roman" w:hAnsi="Times New Roman" w:cs="Times New Roman"/>
          <w:b/>
          <w:sz w:val="20"/>
          <w:szCs w:val="20"/>
        </w:rPr>
        <w:t>ТЕРНОПІЛЬСЬКИЙ ОБЛАСНИЙ КЛІНІЧНИЙ ПЕРИНАТАЛЬНИЙ ЦЕНТР «МАТИ І ДИТИНА» ТЕРНОПІЛЬСЬКОЇ ОБЛАСНОЇ РАДИ</w:t>
      </w:r>
      <w:r w:rsidRPr="006365AA">
        <w:rPr>
          <w:rFonts w:ascii="Times New Roman" w:hAnsi="Times New Roman" w:cs="Times New Roman"/>
          <w:sz w:val="20"/>
          <w:szCs w:val="20"/>
        </w:rPr>
        <w:t xml:space="preserve">. </w:t>
      </w:r>
    </w:p>
    <w:p w:rsidR="00CC5A61" w:rsidRPr="004621EB" w:rsidRDefault="00CC5A61" w:rsidP="00CC5A61">
      <w:pPr>
        <w:shd w:val="clear" w:color="auto" w:fill="FFFFFF"/>
        <w:spacing w:before="100" w:beforeAutospacing="1" w:after="100" w:afterAutospacing="1" w:line="240" w:lineRule="auto"/>
        <w:rPr>
          <w:rFonts w:ascii="Times New Roman" w:eastAsia="Times New Roman" w:hAnsi="Times New Roman" w:cs="Times New Roman"/>
          <w:color w:val="01011B"/>
          <w:sz w:val="18"/>
          <w:szCs w:val="18"/>
          <w:lang w:eastAsia="uk-UA"/>
        </w:rPr>
      </w:pPr>
      <w:r w:rsidRPr="004621EB">
        <w:rPr>
          <w:rFonts w:ascii="Times New Roman" w:eastAsia="Times New Roman" w:hAnsi="Times New Roman" w:cs="Times New Roman"/>
          <w:color w:val="0E1D2F"/>
          <w:sz w:val="18"/>
          <w:szCs w:val="18"/>
          <w:lang w:eastAsia="uk-UA"/>
        </w:rPr>
        <w:t xml:space="preserve">Очікувана вартість обрахована відповідно до </w:t>
      </w:r>
      <w:proofErr w:type="spellStart"/>
      <w:r w:rsidRPr="004621EB">
        <w:rPr>
          <w:rFonts w:ascii="Times New Roman" w:eastAsia="Times New Roman" w:hAnsi="Times New Roman" w:cs="Times New Roman"/>
          <w:color w:val="0E1D2F"/>
          <w:sz w:val="18"/>
          <w:szCs w:val="18"/>
          <w:lang w:eastAsia="uk-UA"/>
        </w:rPr>
        <w:t>середньоринкового</w:t>
      </w:r>
      <w:proofErr w:type="spellEnd"/>
      <w:r w:rsidRPr="004621EB">
        <w:rPr>
          <w:rFonts w:ascii="Times New Roman" w:eastAsia="Times New Roman" w:hAnsi="Times New Roman" w:cs="Times New Roman"/>
          <w:color w:val="0E1D2F"/>
          <w:sz w:val="18"/>
          <w:szCs w:val="18"/>
          <w:lang w:eastAsia="uk-UA"/>
        </w:rPr>
        <w:t xml:space="preserve"> рівня цін, </w:t>
      </w:r>
      <w:r w:rsidRPr="004621EB">
        <w:rPr>
          <w:rFonts w:ascii="Times New Roman" w:hAnsi="Times New Roman" w:cs="Times New Roman"/>
          <w:color w:val="4D5156"/>
          <w:sz w:val="18"/>
          <w:szCs w:val="18"/>
          <w:shd w:val="clear" w:color="auto" w:fill="FFFFFF"/>
        </w:rPr>
        <w:t xml:space="preserve">станом на </w:t>
      </w:r>
      <w:r>
        <w:rPr>
          <w:rFonts w:ascii="Times New Roman" w:hAnsi="Times New Roman" w:cs="Times New Roman"/>
          <w:color w:val="4D5156"/>
          <w:sz w:val="18"/>
          <w:szCs w:val="18"/>
          <w:shd w:val="clear" w:color="auto" w:fill="FFFFFF"/>
        </w:rPr>
        <w:t xml:space="preserve">березень </w:t>
      </w:r>
      <w:r w:rsidRPr="004621EB">
        <w:rPr>
          <w:rFonts w:ascii="Times New Roman" w:hAnsi="Times New Roman" w:cs="Times New Roman"/>
          <w:color w:val="4D5156"/>
          <w:sz w:val="18"/>
          <w:szCs w:val="18"/>
          <w:shd w:val="clear" w:color="auto" w:fill="FFFFFF"/>
        </w:rPr>
        <w:t>2024 року .</w:t>
      </w:r>
      <w:r w:rsidRPr="00CC5A61">
        <w:rPr>
          <w:rFonts w:ascii="Times New Roman" w:eastAsia="Times New Roman" w:hAnsi="Times New Roman" w:cs="Times New Roman"/>
          <w:color w:val="0E1D2F"/>
          <w:sz w:val="18"/>
          <w:szCs w:val="18"/>
          <w:lang w:eastAsia="uk-UA"/>
        </w:rPr>
        <w:t xml:space="preserve"> </w:t>
      </w:r>
      <w:r w:rsidRPr="004621EB">
        <w:rPr>
          <w:rFonts w:ascii="Times New Roman" w:eastAsia="Times New Roman" w:hAnsi="Times New Roman" w:cs="Times New Roman"/>
          <w:color w:val="0E1D2F"/>
          <w:sz w:val="18"/>
          <w:szCs w:val="18"/>
          <w:lang w:eastAsia="uk-UA"/>
        </w:rPr>
        <w:t xml:space="preserve">Очікувана вартість обрахована відповідно до </w:t>
      </w:r>
      <w:proofErr w:type="spellStart"/>
      <w:r w:rsidRPr="004621EB">
        <w:rPr>
          <w:rFonts w:ascii="Times New Roman" w:eastAsia="Times New Roman" w:hAnsi="Times New Roman" w:cs="Times New Roman"/>
          <w:color w:val="0E1D2F"/>
          <w:sz w:val="18"/>
          <w:szCs w:val="18"/>
          <w:lang w:eastAsia="uk-UA"/>
        </w:rPr>
        <w:t>середньоринкового</w:t>
      </w:r>
      <w:proofErr w:type="spellEnd"/>
      <w:r w:rsidRPr="004621EB">
        <w:rPr>
          <w:rFonts w:ascii="Times New Roman" w:eastAsia="Times New Roman" w:hAnsi="Times New Roman" w:cs="Times New Roman"/>
          <w:color w:val="0E1D2F"/>
          <w:sz w:val="18"/>
          <w:szCs w:val="18"/>
          <w:lang w:eastAsia="uk-UA"/>
        </w:rPr>
        <w:t xml:space="preserve"> рівня цін, </w:t>
      </w:r>
      <w:r w:rsidRPr="004621EB">
        <w:rPr>
          <w:rFonts w:ascii="Times New Roman" w:hAnsi="Times New Roman" w:cs="Times New Roman"/>
          <w:color w:val="4D5156"/>
          <w:sz w:val="18"/>
          <w:szCs w:val="18"/>
          <w:shd w:val="clear" w:color="auto" w:fill="FFFFFF"/>
        </w:rPr>
        <w:t xml:space="preserve">станом на </w:t>
      </w:r>
      <w:r>
        <w:rPr>
          <w:rFonts w:ascii="Times New Roman" w:hAnsi="Times New Roman" w:cs="Times New Roman"/>
          <w:color w:val="4D5156"/>
          <w:sz w:val="18"/>
          <w:szCs w:val="18"/>
          <w:shd w:val="clear" w:color="auto" w:fill="FFFFFF"/>
        </w:rPr>
        <w:t xml:space="preserve">березень </w:t>
      </w:r>
      <w:r w:rsidRPr="004621EB">
        <w:rPr>
          <w:rFonts w:ascii="Times New Roman" w:hAnsi="Times New Roman" w:cs="Times New Roman"/>
          <w:color w:val="4D5156"/>
          <w:sz w:val="18"/>
          <w:szCs w:val="18"/>
          <w:shd w:val="clear" w:color="auto" w:fill="FFFFFF"/>
        </w:rPr>
        <w:t>2024 року .</w:t>
      </w:r>
    </w:p>
    <w:p w:rsidR="00CC5A61" w:rsidRPr="004621EB" w:rsidRDefault="00CC5A61" w:rsidP="00CC5A61">
      <w:pPr>
        <w:shd w:val="clear" w:color="auto" w:fill="FFFFFF"/>
        <w:spacing w:before="100" w:beforeAutospacing="1" w:after="100" w:afterAutospacing="1" w:line="240" w:lineRule="auto"/>
        <w:rPr>
          <w:rFonts w:ascii="Times New Roman" w:eastAsia="Times New Roman" w:hAnsi="Times New Roman" w:cs="Times New Roman"/>
          <w:color w:val="01011B"/>
          <w:sz w:val="18"/>
          <w:szCs w:val="18"/>
          <w:lang w:eastAsia="uk-UA"/>
        </w:rPr>
      </w:pPr>
    </w:p>
    <w:p w:rsidR="00CC5A61" w:rsidRPr="006365AA" w:rsidRDefault="00CC5A61" w:rsidP="006365A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6365AA" w:rsidRPr="006365AA" w:rsidRDefault="006365AA" w:rsidP="006365AA">
      <w:pPr>
        <w:autoSpaceDE w:val="0"/>
        <w:autoSpaceDN w:val="0"/>
        <w:jc w:val="both"/>
        <w:rPr>
          <w:rFonts w:ascii="Times New Roman" w:hAnsi="Times New Roman"/>
          <w:b/>
          <w:bCs/>
          <w:i/>
          <w:sz w:val="20"/>
          <w:szCs w:val="20"/>
        </w:rPr>
      </w:pPr>
      <w:r w:rsidRPr="006365AA">
        <w:rPr>
          <w:rFonts w:ascii="Times New Roman" w:hAnsi="Times New Roman"/>
          <w:b/>
          <w:bCs/>
          <w:i/>
          <w:sz w:val="20"/>
          <w:szCs w:val="20"/>
        </w:rPr>
        <w:t xml:space="preserve">Кількісні характеристики та одиниці виміру(специфікація): </w:t>
      </w:r>
    </w:p>
    <w:p w:rsidR="006365AA" w:rsidRPr="00090082" w:rsidRDefault="006365AA" w:rsidP="006365AA">
      <w:pPr>
        <w:spacing w:after="0"/>
        <w:jc w:val="center"/>
        <w:rPr>
          <w:rFonts w:ascii="Times New Roman" w:hAnsi="Times New Roman" w:cs="Times New Roman"/>
          <w:b/>
          <w:sz w:val="24"/>
          <w:szCs w:val="24"/>
        </w:rPr>
      </w:pPr>
      <w:r w:rsidRPr="00090082">
        <w:rPr>
          <w:rFonts w:ascii="Times New Roman" w:hAnsi="Times New Roman" w:cs="Times New Roman"/>
          <w:b/>
          <w:sz w:val="24"/>
          <w:szCs w:val="24"/>
        </w:rPr>
        <w:t xml:space="preserve">ТЕХНІЧНІ ВИМОГИ </w:t>
      </w:r>
    </w:p>
    <w:p w:rsidR="006365AA" w:rsidRPr="00B62480" w:rsidRDefault="006365AA" w:rsidP="006365AA">
      <w:pPr>
        <w:spacing w:after="0"/>
        <w:jc w:val="center"/>
        <w:rPr>
          <w:rFonts w:ascii="Times New Roman" w:hAnsi="Times New Roman" w:cs="Times New Roman"/>
          <w:b/>
          <w:sz w:val="24"/>
          <w:szCs w:val="24"/>
        </w:rPr>
      </w:pPr>
      <w:r w:rsidRPr="00B62480">
        <w:rPr>
          <w:rFonts w:ascii="Times New Roman" w:hAnsi="Times New Roman" w:cs="Times New Roman"/>
          <w:b/>
          <w:sz w:val="24"/>
          <w:szCs w:val="24"/>
        </w:rPr>
        <w:t xml:space="preserve">Технічні та якісні характеристики </w:t>
      </w:r>
    </w:p>
    <w:p w:rsidR="006365AA" w:rsidRDefault="006365AA" w:rsidP="006365AA">
      <w:pPr>
        <w:spacing w:after="0"/>
        <w:jc w:val="center"/>
        <w:rPr>
          <w:rFonts w:ascii="Times New Roman" w:hAnsi="Times New Roman" w:cs="Times New Roman"/>
          <w:b/>
          <w:sz w:val="24"/>
          <w:szCs w:val="24"/>
        </w:rPr>
      </w:pPr>
      <w:r w:rsidRPr="00B62480">
        <w:rPr>
          <w:rFonts w:ascii="Times New Roman" w:hAnsi="Times New Roman" w:cs="Times New Roman"/>
          <w:b/>
          <w:sz w:val="24"/>
          <w:szCs w:val="24"/>
        </w:rPr>
        <w:t>до предмету закупівлі</w:t>
      </w:r>
    </w:p>
    <w:p w:rsidR="006365AA" w:rsidRDefault="006365AA" w:rsidP="006365AA">
      <w:pPr>
        <w:spacing w:after="0"/>
        <w:jc w:val="center"/>
        <w:rPr>
          <w:rFonts w:ascii="Times New Roman" w:hAnsi="Times New Roman" w:cs="Times New Roman"/>
          <w:b/>
          <w:sz w:val="24"/>
          <w:szCs w:val="24"/>
          <w:shd w:val="clear" w:color="auto" w:fill="FFFFFF"/>
        </w:rPr>
      </w:pPr>
      <w:proofErr w:type="spellStart"/>
      <w:r w:rsidRPr="00E361D8">
        <w:rPr>
          <w:rFonts w:ascii="Times New Roman" w:hAnsi="Times New Roman" w:cs="Times New Roman"/>
          <w:b/>
          <w:sz w:val="24"/>
          <w:szCs w:val="24"/>
          <w:shd w:val="clear" w:color="auto" w:fill="FFFFFF"/>
        </w:rPr>
        <w:t>ДК</w:t>
      </w:r>
      <w:proofErr w:type="spellEnd"/>
      <w:r w:rsidRPr="00E361D8">
        <w:rPr>
          <w:rFonts w:ascii="Times New Roman" w:hAnsi="Times New Roman" w:cs="Times New Roman"/>
          <w:b/>
          <w:sz w:val="24"/>
          <w:szCs w:val="24"/>
          <w:shd w:val="clear" w:color="auto" w:fill="FFFFFF"/>
        </w:rPr>
        <w:t xml:space="preserve"> 021:2015 90520000-8 Послуги у сфері поводження з радіоактивними, токсичними, медичними та небезпечними відходами (</w:t>
      </w:r>
      <w:r w:rsidRPr="00F261A3">
        <w:rPr>
          <w:rFonts w:ascii="Times New Roman" w:eastAsia="Times New Roman" w:hAnsi="Times New Roman" w:cs="Times New Roman"/>
          <w:b/>
          <w:iCs/>
          <w:sz w:val="24"/>
          <w:szCs w:val="24"/>
          <w:lang w:eastAsia="ru-RU"/>
        </w:rPr>
        <w:t>управління небезпечними відходами</w:t>
      </w:r>
      <w:r w:rsidRPr="00E361D8">
        <w:rPr>
          <w:rFonts w:ascii="Times New Roman" w:hAnsi="Times New Roman" w:cs="Times New Roman"/>
          <w:b/>
          <w:sz w:val="24"/>
          <w:szCs w:val="24"/>
          <w:shd w:val="clear" w:color="auto" w:fill="FFFFFF"/>
        </w:rPr>
        <w:t>)</w:t>
      </w:r>
    </w:p>
    <w:p w:rsidR="006365AA" w:rsidRDefault="006365AA" w:rsidP="006365AA">
      <w:pPr>
        <w:spacing w:after="0"/>
        <w:jc w:val="center"/>
        <w:rPr>
          <w:rFonts w:ascii="Times New Roman" w:hAnsi="Times New Roman" w:cs="Times New Roman"/>
          <w:b/>
          <w:sz w:val="24"/>
          <w:szCs w:val="24"/>
          <w:shd w:val="clear" w:color="auto" w:fill="FFFFFF"/>
        </w:rPr>
      </w:pPr>
    </w:p>
    <w:p w:rsidR="006365AA" w:rsidRDefault="006365AA" w:rsidP="006365AA">
      <w:pPr>
        <w:spacing w:after="0"/>
        <w:jc w:val="center"/>
        <w:rPr>
          <w:rFonts w:ascii="Times New Roman" w:hAnsi="Times New Roman" w:cs="Times New Roman"/>
          <w:b/>
          <w:sz w:val="24"/>
          <w:szCs w:val="24"/>
          <w:shd w:val="clear" w:color="auto" w:fill="FFFFFF"/>
        </w:rPr>
      </w:pPr>
    </w:p>
    <w:p w:rsidR="006365AA" w:rsidRDefault="006365AA" w:rsidP="006365AA">
      <w:pPr>
        <w:spacing w:after="0"/>
        <w:jc w:val="center"/>
        <w:rPr>
          <w:rFonts w:ascii="Times New Roman" w:hAnsi="Times New Roman" w:cs="Times New Roman"/>
          <w:b/>
          <w:sz w:val="24"/>
          <w:szCs w:val="24"/>
          <w:shd w:val="clear" w:color="auto" w:fill="FFFFFF"/>
        </w:rPr>
      </w:pPr>
    </w:p>
    <w:tbl>
      <w:tblPr>
        <w:tblpPr w:leftFromText="180" w:rightFromText="180" w:vertAnchor="text" w:horzAnchor="margin" w:tblpY="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5671"/>
        <w:gridCol w:w="1275"/>
        <w:gridCol w:w="851"/>
        <w:gridCol w:w="1984"/>
      </w:tblGrid>
      <w:tr w:rsidR="006365AA" w:rsidRPr="00F261A3" w:rsidTr="00571330">
        <w:trPr>
          <w:trHeight w:val="556"/>
        </w:trPr>
        <w:tc>
          <w:tcPr>
            <w:tcW w:w="533" w:type="dxa"/>
            <w:vAlign w:val="center"/>
          </w:tcPr>
          <w:p w:rsidR="006365AA" w:rsidRPr="00F261A3" w:rsidRDefault="006365AA" w:rsidP="00571330">
            <w:pPr>
              <w:pStyle w:val="a7"/>
              <w:ind w:left="-57" w:right="-57"/>
              <w:jc w:val="center"/>
              <w:rPr>
                <w:rFonts w:ascii="Times New Roman" w:hAnsi="Times New Roman"/>
                <w:bCs/>
                <w:iCs/>
                <w:sz w:val="22"/>
                <w:szCs w:val="22"/>
                <w:lang w:val="ru-RU"/>
              </w:rPr>
            </w:pPr>
            <w:r w:rsidRPr="00F261A3">
              <w:rPr>
                <w:rFonts w:ascii="Times New Roman" w:hAnsi="Times New Roman"/>
                <w:bCs/>
                <w:iCs/>
                <w:sz w:val="22"/>
                <w:szCs w:val="22"/>
                <w:lang w:val="ru-RU"/>
              </w:rPr>
              <w:t xml:space="preserve">№ </w:t>
            </w:r>
          </w:p>
        </w:tc>
        <w:tc>
          <w:tcPr>
            <w:tcW w:w="5671" w:type="dxa"/>
            <w:vAlign w:val="center"/>
          </w:tcPr>
          <w:p w:rsidR="006365AA" w:rsidRPr="00F261A3" w:rsidRDefault="006365AA" w:rsidP="00571330">
            <w:pPr>
              <w:pStyle w:val="a7"/>
              <w:ind w:left="-57" w:right="-57"/>
              <w:jc w:val="center"/>
              <w:rPr>
                <w:rFonts w:ascii="Times New Roman" w:hAnsi="Times New Roman"/>
                <w:bCs/>
                <w:iCs/>
                <w:sz w:val="22"/>
                <w:szCs w:val="22"/>
              </w:rPr>
            </w:pPr>
            <w:r w:rsidRPr="00F261A3">
              <w:rPr>
                <w:rFonts w:ascii="Times New Roman" w:hAnsi="Times New Roman"/>
                <w:bCs/>
                <w:iCs/>
                <w:sz w:val="22"/>
                <w:szCs w:val="22"/>
              </w:rPr>
              <w:t>Найменування відходів</w:t>
            </w:r>
          </w:p>
        </w:tc>
        <w:tc>
          <w:tcPr>
            <w:tcW w:w="1275" w:type="dxa"/>
            <w:vAlign w:val="center"/>
          </w:tcPr>
          <w:p w:rsidR="006365AA" w:rsidRPr="00F261A3" w:rsidRDefault="006365AA" w:rsidP="00571330">
            <w:pPr>
              <w:pStyle w:val="a7"/>
              <w:ind w:left="-57" w:right="-57"/>
              <w:jc w:val="center"/>
              <w:rPr>
                <w:rFonts w:ascii="Times New Roman" w:hAnsi="Times New Roman"/>
                <w:bCs/>
                <w:iCs/>
                <w:sz w:val="22"/>
                <w:szCs w:val="22"/>
              </w:rPr>
            </w:pPr>
            <w:r w:rsidRPr="00F261A3">
              <w:rPr>
                <w:rFonts w:ascii="Times New Roman" w:hAnsi="Times New Roman"/>
                <w:bCs/>
                <w:iCs/>
                <w:sz w:val="22"/>
                <w:szCs w:val="22"/>
              </w:rPr>
              <w:t>Код операцій</w:t>
            </w:r>
          </w:p>
        </w:tc>
        <w:tc>
          <w:tcPr>
            <w:tcW w:w="851" w:type="dxa"/>
            <w:vAlign w:val="center"/>
          </w:tcPr>
          <w:p w:rsidR="006365AA" w:rsidRPr="00F261A3" w:rsidRDefault="006365AA" w:rsidP="00571330">
            <w:pPr>
              <w:pStyle w:val="a7"/>
              <w:ind w:left="-57" w:right="-57"/>
              <w:jc w:val="center"/>
              <w:rPr>
                <w:rFonts w:ascii="Times New Roman" w:hAnsi="Times New Roman"/>
                <w:bCs/>
                <w:iCs/>
                <w:sz w:val="22"/>
                <w:szCs w:val="22"/>
              </w:rPr>
            </w:pPr>
            <w:proofErr w:type="spellStart"/>
            <w:r w:rsidRPr="00F261A3">
              <w:rPr>
                <w:rFonts w:ascii="Times New Roman" w:hAnsi="Times New Roman"/>
                <w:bCs/>
                <w:iCs/>
                <w:sz w:val="22"/>
                <w:szCs w:val="22"/>
              </w:rPr>
              <w:t>Од.вим</w:t>
            </w:r>
            <w:proofErr w:type="spellEnd"/>
            <w:r w:rsidRPr="00F261A3">
              <w:rPr>
                <w:rFonts w:ascii="Times New Roman" w:hAnsi="Times New Roman"/>
                <w:bCs/>
                <w:iCs/>
                <w:sz w:val="22"/>
                <w:szCs w:val="22"/>
              </w:rPr>
              <w:t>.</w:t>
            </w:r>
          </w:p>
        </w:tc>
        <w:tc>
          <w:tcPr>
            <w:tcW w:w="1984" w:type="dxa"/>
          </w:tcPr>
          <w:p w:rsidR="006365AA" w:rsidRPr="00F261A3" w:rsidRDefault="006365AA" w:rsidP="00571330">
            <w:pPr>
              <w:pStyle w:val="a7"/>
              <w:ind w:left="-57" w:right="-57"/>
              <w:jc w:val="center"/>
              <w:rPr>
                <w:rFonts w:ascii="Times New Roman" w:hAnsi="Times New Roman"/>
                <w:bCs/>
                <w:iCs/>
                <w:sz w:val="22"/>
                <w:szCs w:val="22"/>
              </w:rPr>
            </w:pPr>
            <w:r w:rsidRPr="00F261A3">
              <w:rPr>
                <w:rFonts w:ascii="Times New Roman" w:hAnsi="Times New Roman"/>
                <w:bCs/>
                <w:iCs/>
                <w:sz w:val="22"/>
                <w:szCs w:val="22"/>
              </w:rPr>
              <w:t xml:space="preserve">Кількість </w:t>
            </w:r>
            <w:r w:rsidRPr="00F261A3">
              <w:rPr>
                <w:rFonts w:ascii="Times New Roman" w:hAnsi="Times New Roman"/>
                <w:bCs/>
                <w:iCs/>
                <w:sz w:val="22"/>
                <w:szCs w:val="22"/>
              </w:rPr>
              <w:br/>
              <w:t>відходів</w:t>
            </w:r>
          </w:p>
        </w:tc>
      </w:tr>
      <w:tr w:rsidR="006365AA" w:rsidRPr="00F261A3" w:rsidTr="00571330">
        <w:trPr>
          <w:trHeight w:val="208"/>
        </w:trPr>
        <w:tc>
          <w:tcPr>
            <w:tcW w:w="533" w:type="dxa"/>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1</w:t>
            </w:r>
          </w:p>
        </w:tc>
        <w:tc>
          <w:tcPr>
            <w:tcW w:w="5671" w:type="dxa"/>
            <w:vAlign w:val="center"/>
          </w:tcPr>
          <w:p w:rsidR="006365AA" w:rsidRPr="00F261A3" w:rsidRDefault="006365AA" w:rsidP="00571330">
            <w:pPr>
              <w:pStyle w:val="a7"/>
              <w:ind w:right="-57"/>
              <w:rPr>
                <w:rFonts w:ascii="Times New Roman" w:hAnsi="Times New Roman"/>
                <w:b/>
                <w:bCs/>
                <w:iCs/>
                <w:sz w:val="22"/>
                <w:szCs w:val="22"/>
              </w:rPr>
            </w:pPr>
            <w:r w:rsidRPr="00F261A3">
              <w:rPr>
                <w:rFonts w:ascii="Times New Roman" w:hAnsi="Times New Roman"/>
                <w:b/>
                <w:bCs/>
                <w:iCs/>
                <w:sz w:val="22"/>
                <w:szCs w:val="22"/>
              </w:rPr>
              <w:t xml:space="preserve">Люмінесцентні лампи та інші </w:t>
            </w:r>
            <w:proofErr w:type="spellStart"/>
            <w:r w:rsidRPr="00F261A3">
              <w:rPr>
                <w:rFonts w:ascii="Times New Roman" w:hAnsi="Times New Roman"/>
                <w:b/>
                <w:bCs/>
                <w:iCs/>
                <w:sz w:val="22"/>
                <w:szCs w:val="22"/>
              </w:rPr>
              <w:t>ртутьвмісні</w:t>
            </w:r>
            <w:proofErr w:type="spellEnd"/>
            <w:r w:rsidRPr="00F261A3">
              <w:rPr>
                <w:rFonts w:ascii="Times New Roman" w:hAnsi="Times New Roman"/>
                <w:b/>
                <w:bCs/>
                <w:iCs/>
                <w:sz w:val="22"/>
                <w:szCs w:val="22"/>
              </w:rPr>
              <w:t xml:space="preserve"> відходи 20 01 21*</w:t>
            </w:r>
          </w:p>
        </w:tc>
        <w:tc>
          <w:tcPr>
            <w:tcW w:w="1275" w:type="dxa"/>
          </w:tcPr>
          <w:p w:rsidR="006365AA" w:rsidRPr="00F261A3" w:rsidRDefault="006365AA" w:rsidP="00571330">
            <w:pPr>
              <w:pStyle w:val="a7"/>
              <w:ind w:right="-57"/>
              <w:jc w:val="center"/>
              <w:rPr>
                <w:rFonts w:ascii="Times New Roman" w:hAnsi="Times New Roman"/>
                <w:b/>
                <w:bCs/>
                <w:iCs/>
                <w:sz w:val="22"/>
                <w:szCs w:val="22"/>
                <w:lang w:val="en-US"/>
              </w:rPr>
            </w:pPr>
            <w:r w:rsidRPr="00F261A3">
              <w:rPr>
                <w:rFonts w:ascii="Times New Roman" w:hAnsi="Times New Roman"/>
                <w:b/>
                <w:bCs/>
                <w:iCs/>
                <w:sz w:val="22"/>
                <w:szCs w:val="22"/>
                <w:lang w:val="en-US"/>
              </w:rPr>
              <w:t>D13 D15 D9</w:t>
            </w:r>
          </w:p>
        </w:tc>
        <w:tc>
          <w:tcPr>
            <w:tcW w:w="851" w:type="dxa"/>
            <w:vAlign w:val="center"/>
          </w:tcPr>
          <w:p w:rsidR="006365AA" w:rsidRPr="00F261A3" w:rsidRDefault="006365AA" w:rsidP="00571330">
            <w:pPr>
              <w:pStyle w:val="a7"/>
              <w:ind w:right="-57"/>
              <w:jc w:val="center"/>
              <w:rPr>
                <w:rFonts w:ascii="Times New Roman" w:hAnsi="Times New Roman"/>
                <w:b/>
                <w:bCs/>
                <w:iCs/>
                <w:sz w:val="22"/>
                <w:szCs w:val="22"/>
              </w:rPr>
            </w:pPr>
            <w:proofErr w:type="spellStart"/>
            <w:r w:rsidRPr="00F261A3">
              <w:rPr>
                <w:rFonts w:ascii="Times New Roman" w:hAnsi="Times New Roman"/>
                <w:b/>
                <w:bCs/>
                <w:iCs/>
                <w:sz w:val="22"/>
                <w:szCs w:val="22"/>
              </w:rPr>
              <w:t>шт</w:t>
            </w:r>
            <w:proofErr w:type="spellEnd"/>
          </w:p>
        </w:tc>
        <w:tc>
          <w:tcPr>
            <w:tcW w:w="1984" w:type="dxa"/>
          </w:tcPr>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250</w:t>
            </w:r>
          </w:p>
        </w:tc>
      </w:tr>
      <w:tr w:rsidR="006365AA" w:rsidRPr="00F261A3" w:rsidTr="00571330">
        <w:trPr>
          <w:trHeight w:val="208"/>
        </w:trPr>
        <w:tc>
          <w:tcPr>
            <w:tcW w:w="533" w:type="dxa"/>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2</w:t>
            </w:r>
          </w:p>
        </w:tc>
        <w:tc>
          <w:tcPr>
            <w:tcW w:w="5671" w:type="dxa"/>
            <w:vAlign w:val="center"/>
          </w:tcPr>
          <w:p w:rsidR="006365AA" w:rsidRPr="00F261A3" w:rsidRDefault="006365AA" w:rsidP="00571330">
            <w:pPr>
              <w:pStyle w:val="a7"/>
              <w:ind w:right="-57"/>
              <w:rPr>
                <w:rFonts w:ascii="Times New Roman" w:hAnsi="Times New Roman"/>
                <w:b/>
                <w:bCs/>
                <w:iCs/>
                <w:sz w:val="22"/>
                <w:szCs w:val="22"/>
              </w:rPr>
            </w:pPr>
            <w:r w:rsidRPr="00F261A3">
              <w:rPr>
                <w:rFonts w:ascii="Times New Roman" w:hAnsi="Times New Roman"/>
                <w:b/>
                <w:bCs/>
                <w:iCs/>
                <w:sz w:val="22"/>
                <w:szCs w:val="22"/>
              </w:rPr>
              <w:t xml:space="preserve">Відходи, що містять ртуть 06 04 </w:t>
            </w:r>
            <w:proofErr w:type="spellStart"/>
            <w:r w:rsidRPr="00F261A3">
              <w:rPr>
                <w:rFonts w:ascii="Times New Roman" w:hAnsi="Times New Roman"/>
                <w:b/>
                <w:bCs/>
                <w:iCs/>
                <w:sz w:val="22"/>
                <w:szCs w:val="22"/>
              </w:rPr>
              <w:t>04</w:t>
            </w:r>
            <w:proofErr w:type="spellEnd"/>
            <w:r w:rsidRPr="00F261A3">
              <w:rPr>
                <w:rFonts w:ascii="Times New Roman" w:hAnsi="Times New Roman"/>
                <w:b/>
                <w:bCs/>
                <w:iCs/>
                <w:sz w:val="22"/>
                <w:szCs w:val="22"/>
              </w:rPr>
              <w:t>*</w:t>
            </w:r>
          </w:p>
        </w:tc>
        <w:tc>
          <w:tcPr>
            <w:tcW w:w="1275" w:type="dxa"/>
          </w:tcPr>
          <w:p w:rsidR="006365AA" w:rsidRPr="00F261A3" w:rsidRDefault="006365AA" w:rsidP="00571330">
            <w:pPr>
              <w:pStyle w:val="a7"/>
              <w:ind w:right="-57"/>
              <w:jc w:val="center"/>
              <w:rPr>
                <w:rFonts w:ascii="Times New Roman" w:hAnsi="Times New Roman"/>
                <w:b/>
                <w:bCs/>
                <w:iCs/>
                <w:sz w:val="22"/>
                <w:szCs w:val="22"/>
                <w:lang w:val="en-US"/>
              </w:rPr>
            </w:pPr>
            <w:r w:rsidRPr="00F261A3">
              <w:rPr>
                <w:rFonts w:ascii="Times New Roman" w:hAnsi="Times New Roman"/>
                <w:b/>
                <w:bCs/>
                <w:iCs/>
                <w:sz w:val="22"/>
                <w:szCs w:val="22"/>
                <w:lang w:val="en-US"/>
              </w:rPr>
              <w:t>D13 D15 D9</w:t>
            </w:r>
          </w:p>
        </w:tc>
        <w:tc>
          <w:tcPr>
            <w:tcW w:w="851" w:type="dxa"/>
            <w:vAlign w:val="center"/>
          </w:tcPr>
          <w:p w:rsidR="006365AA" w:rsidRPr="00F261A3" w:rsidRDefault="006365AA" w:rsidP="00571330">
            <w:pPr>
              <w:pStyle w:val="a7"/>
              <w:ind w:right="-57"/>
              <w:jc w:val="center"/>
              <w:rPr>
                <w:rFonts w:ascii="Times New Roman" w:hAnsi="Times New Roman"/>
                <w:b/>
                <w:bCs/>
                <w:iCs/>
                <w:sz w:val="22"/>
                <w:szCs w:val="22"/>
              </w:rPr>
            </w:pPr>
            <w:proofErr w:type="spellStart"/>
            <w:r w:rsidRPr="00F261A3">
              <w:rPr>
                <w:rFonts w:ascii="Times New Roman" w:hAnsi="Times New Roman"/>
                <w:b/>
                <w:bCs/>
                <w:iCs/>
                <w:sz w:val="22"/>
                <w:szCs w:val="22"/>
              </w:rPr>
              <w:t>шт</w:t>
            </w:r>
            <w:proofErr w:type="spellEnd"/>
          </w:p>
        </w:tc>
        <w:tc>
          <w:tcPr>
            <w:tcW w:w="1984" w:type="dxa"/>
          </w:tcPr>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30</w:t>
            </w:r>
          </w:p>
        </w:tc>
      </w:tr>
      <w:tr w:rsidR="006365AA" w:rsidRPr="00F261A3" w:rsidTr="00571330">
        <w:trPr>
          <w:trHeight w:val="333"/>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sz w:val="22"/>
                <w:szCs w:val="22"/>
                <w:lang w:val="ru-RU"/>
              </w:rPr>
            </w:pPr>
            <w:r w:rsidRPr="00F261A3">
              <w:rPr>
                <w:rFonts w:ascii="Times New Roman" w:hAnsi="Times New Roman"/>
                <w:b/>
                <w:bCs/>
                <w:iCs/>
                <w:sz w:val="22"/>
                <w:szCs w:val="22"/>
                <w:lang w:val="ru-RU"/>
              </w:rPr>
              <w:t>3</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A87D4B" w:rsidRDefault="006365AA" w:rsidP="00571330">
            <w:pPr>
              <w:spacing w:line="240" w:lineRule="auto"/>
              <w:ind w:hanging="2"/>
              <w:rPr>
                <w:rFonts w:ascii="Times New Roman" w:hAnsi="Times New Roman" w:cs="Times New Roman"/>
                <w:b/>
              </w:rPr>
            </w:pPr>
            <w:r w:rsidRPr="00A87D4B">
              <w:rPr>
                <w:rFonts w:ascii="Times New Roman" w:hAnsi="Times New Roman" w:cs="Times New Roman"/>
                <w:b/>
              </w:rPr>
              <w:t>Відходи, збирання та видалення яких обумовлено спеціальними вимогами для запобігання виникненню інфекції 18 01 03* (голки, шприци, системи, вата, бинти, леза скальпелів та ін.)</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lang w:val="en-US" w:eastAsia="ru-RU"/>
              </w:rPr>
              <w:t>D15 D10</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p>
          <w:p w:rsidR="006365AA" w:rsidRPr="00F261A3" w:rsidRDefault="006365AA" w:rsidP="00571330">
            <w:pPr>
              <w:pStyle w:val="a7"/>
              <w:ind w:right="-57"/>
              <w:jc w:val="center"/>
              <w:rPr>
                <w:rFonts w:ascii="Times New Roman" w:hAnsi="Times New Roman"/>
                <w:b/>
                <w:bCs/>
                <w:iCs/>
                <w:sz w:val="22"/>
                <w:szCs w:val="22"/>
              </w:rPr>
            </w:pPr>
          </w:p>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3000</w:t>
            </w:r>
          </w:p>
        </w:tc>
      </w:tr>
      <w:tr w:rsidR="006365AA" w:rsidRPr="00F261A3" w:rsidTr="00571330">
        <w:trPr>
          <w:trHeight w:val="269"/>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4</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rPr>
                <w:rFonts w:ascii="Times New Roman" w:hAnsi="Times New Roman"/>
                <w:b/>
                <w:bCs/>
                <w:iCs/>
                <w:sz w:val="22"/>
                <w:szCs w:val="22"/>
              </w:rPr>
            </w:pPr>
            <w:r w:rsidRPr="00F261A3">
              <w:rPr>
                <w:rFonts w:ascii="Times New Roman" w:hAnsi="Times New Roman"/>
                <w:b/>
                <w:bCs/>
                <w:iCs/>
                <w:sz w:val="22"/>
                <w:szCs w:val="22"/>
              </w:rPr>
              <w:t>Відходи, збирання та видалення яких обумовлено спеціальними вимогами для запобігання виникненню інфекції 18 01 03* (анатомічні, біологічні відходи)</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lang w:val="en-US" w:eastAsia="ru-RU"/>
              </w:rPr>
              <w:t>D15 D10</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p>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800</w:t>
            </w:r>
          </w:p>
        </w:tc>
      </w:tr>
      <w:tr w:rsidR="006365AA" w:rsidRPr="00F261A3" w:rsidTr="00571330">
        <w:trPr>
          <w:trHeight w:val="365"/>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5</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A87D4B" w:rsidRDefault="006365AA" w:rsidP="00571330">
            <w:pPr>
              <w:spacing w:line="240" w:lineRule="auto"/>
              <w:rPr>
                <w:rFonts w:ascii="Times New Roman" w:hAnsi="Times New Roman" w:cs="Times New Roman"/>
                <w:b/>
              </w:rPr>
            </w:pPr>
            <w:r w:rsidRPr="00A87D4B">
              <w:rPr>
                <w:rFonts w:ascii="Times New Roman" w:hAnsi="Times New Roman" w:cs="Times New Roman"/>
                <w:b/>
              </w:rPr>
              <w:t xml:space="preserve">Хімічні препарати, що складаються або містять небезпечні речовини 18 01 06* (прострочені </w:t>
            </w:r>
            <w:r w:rsidRPr="00A87D4B">
              <w:rPr>
                <w:rFonts w:ascii="Times New Roman" w:hAnsi="Times New Roman" w:cs="Times New Roman"/>
                <w:b/>
              </w:rPr>
              <w:lastRenderedPageBreak/>
              <w:t>фармацевтичні препарати)</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lang w:val="en-US" w:eastAsia="ru-RU"/>
              </w:rPr>
              <w:lastRenderedPageBreak/>
              <w:t>D13 D15 D10</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200</w:t>
            </w:r>
          </w:p>
        </w:tc>
      </w:tr>
      <w:tr w:rsidR="006365AA" w:rsidRPr="00F261A3" w:rsidTr="00571330">
        <w:trPr>
          <w:trHeight w:val="413"/>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lastRenderedPageBreak/>
              <w:t>6</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rPr>
                <w:rFonts w:ascii="Times New Roman" w:hAnsi="Times New Roman"/>
                <w:b/>
                <w:bCs/>
                <w:iCs/>
                <w:sz w:val="22"/>
                <w:szCs w:val="22"/>
              </w:rPr>
            </w:pPr>
            <w:r w:rsidRPr="00F261A3">
              <w:rPr>
                <w:rFonts w:ascii="Times New Roman" w:hAnsi="Times New Roman"/>
                <w:b/>
                <w:bCs/>
                <w:iCs/>
                <w:sz w:val="22"/>
                <w:szCs w:val="22"/>
              </w:rPr>
              <w:t>Свинцеві батареї 16 06 01*</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lang w:val="en-US" w:eastAsia="ru-RU"/>
              </w:rPr>
              <w:t>D13 D15 D9 D10</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r w:rsidRPr="00F261A3">
              <w:rPr>
                <w:rFonts w:ascii="Times New Roman" w:hAnsi="Times New Roman"/>
                <w:b/>
                <w:bCs/>
                <w:iCs/>
                <w:sz w:val="22"/>
                <w:szCs w:val="22"/>
              </w:rPr>
              <w:t>80</w:t>
            </w:r>
          </w:p>
        </w:tc>
      </w:tr>
      <w:tr w:rsidR="006365AA" w:rsidRPr="00F261A3" w:rsidTr="00571330">
        <w:trPr>
          <w:trHeight w:val="413"/>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7</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rPr>
                <w:rFonts w:ascii="Times New Roman" w:hAnsi="Times New Roman"/>
                <w:b/>
                <w:bCs/>
                <w:iCs/>
                <w:sz w:val="22"/>
                <w:szCs w:val="22"/>
              </w:rPr>
            </w:pPr>
            <w:r w:rsidRPr="00F261A3">
              <w:rPr>
                <w:rFonts w:ascii="Times New Roman" w:hAnsi="Times New Roman"/>
                <w:b/>
                <w:bCs/>
                <w:iCs/>
                <w:sz w:val="22"/>
                <w:szCs w:val="22"/>
              </w:rPr>
              <w:t xml:space="preserve">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 15 02 </w:t>
            </w:r>
            <w:proofErr w:type="spellStart"/>
            <w:r w:rsidRPr="00F261A3">
              <w:rPr>
                <w:rFonts w:ascii="Times New Roman" w:hAnsi="Times New Roman"/>
                <w:b/>
                <w:bCs/>
                <w:iCs/>
                <w:sz w:val="22"/>
                <w:szCs w:val="22"/>
              </w:rPr>
              <w:t>02</w:t>
            </w:r>
            <w:proofErr w:type="spellEnd"/>
            <w:r w:rsidRPr="00F261A3">
              <w:rPr>
                <w:rFonts w:ascii="Times New Roman" w:hAnsi="Times New Roman"/>
                <w:b/>
                <w:bCs/>
                <w:iCs/>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lang w:val="en-US" w:eastAsia="ru-RU"/>
              </w:rPr>
            </w:pPr>
            <w:r w:rsidRPr="00F261A3">
              <w:rPr>
                <w:rFonts w:ascii="Times New Roman" w:hAnsi="Times New Roman" w:cs="Times New Roman"/>
                <w:lang w:val="en-US" w:eastAsia="ru-RU"/>
              </w:rPr>
              <w:t>D10</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p>
          <w:p w:rsidR="006365AA" w:rsidRPr="00F261A3" w:rsidRDefault="006365AA" w:rsidP="00571330">
            <w:pPr>
              <w:pStyle w:val="a7"/>
              <w:ind w:right="-57"/>
              <w:jc w:val="center"/>
              <w:rPr>
                <w:rFonts w:ascii="Times New Roman" w:hAnsi="Times New Roman"/>
                <w:b/>
                <w:bCs/>
                <w:iCs/>
                <w:sz w:val="22"/>
                <w:szCs w:val="22"/>
              </w:rPr>
            </w:pPr>
          </w:p>
          <w:p w:rsidR="006365AA" w:rsidRPr="00F261A3" w:rsidRDefault="006365AA" w:rsidP="00571330">
            <w:pPr>
              <w:pStyle w:val="a7"/>
              <w:ind w:right="-57"/>
              <w:jc w:val="center"/>
              <w:rPr>
                <w:rFonts w:ascii="Times New Roman" w:hAnsi="Times New Roman"/>
                <w:b/>
                <w:bCs/>
                <w:iCs/>
                <w:sz w:val="22"/>
                <w:szCs w:val="22"/>
              </w:rPr>
            </w:pPr>
            <w:r>
              <w:rPr>
                <w:rFonts w:ascii="Times New Roman" w:hAnsi="Times New Roman"/>
                <w:b/>
                <w:bCs/>
                <w:iCs/>
                <w:sz w:val="22"/>
                <w:szCs w:val="22"/>
              </w:rPr>
              <w:t>15</w:t>
            </w:r>
          </w:p>
        </w:tc>
      </w:tr>
      <w:tr w:rsidR="006365AA" w:rsidRPr="00F261A3" w:rsidTr="00571330">
        <w:trPr>
          <w:trHeight w:val="413"/>
        </w:trPr>
        <w:tc>
          <w:tcPr>
            <w:tcW w:w="533"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ind w:right="-57"/>
              <w:jc w:val="center"/>
              <w:rPr>
                <w:rFonts w:ascii="Times New Roman" w:hAnsi="Times New Roman"/>
                <w:b/>
                <w:bCs/>
                <w:iCs/>
                <w:sz w:val="22"/>
                <w:szCs w:val="22"/>
                <w:lang w:val="ru-RU"/>
              </w:rPr>
            </w:pPr>
            <w:r w:rsidRPr="00F261A3">
              <w:rPr>
                <w:rFonts w:ascii="Times New Roman" w:hAnsi="Times New Roman"/>
                <w:b/>
                <w:bCs/>
                <w:iCs/>
                <w:sz w:val="22"/>
                <w:szCs w:val="22"/>
                <w:lang w:val="ru-RU"/>
              </w:rPr>
              <w:t>8</w:t>
            </w:r>
          </w:p>
        </w:tc>
        <w:tc>
          <w:tcPr>
            <w:tcW w:w="567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pStyle w:val="a7"/>
              <w:rPr>
                <w:rFonts w:ascii="Times New Roman" w:hAnsi="Times New Roman"/>
                <w:b/>
                <w:bCs/>
                <w:iCs/>
                <w:sz w:val="22"/>
                <w:szCs w:val="22"/>
              </w:rPr>
            </w:pPr>
            <w:r w:rsidRPr="00F261A3">
              <w:rPr>
                <w:rFonts w:ascii="Times New Roman" w:hAnsi="Times New Roman"/>
                <w:b/>
                <w:bCs/>
                <w:iCs/>
                <w:sz w:val="22"/>
                <w:szCs w:val="22"/>
              </w:rPr>
              <w:t>Інші моторні, індустріальні та мастильні оливи 13 02 08*</w:t>
            </w:r>
          </w:p>
        </w:tc>
        <w:tc>
          <w:tcPr>
            <w:tcW w:w="1275"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spacing w:line="240" w:lineRule="auto"/>
              <w:ind w:left="-108" w:right="-250"/>
              <w:jc w:val="center"/>
              <w:rPr>
                <w:rFonts w:ascii="Times New Roman" w:hAnsi="Times New Roman" w:cs="Times New Roman"/>
                <w:lang w:val="en-US"/>
              </w:rPr>
            </w:pPr>
            <w:r w:rsidRPr="00F261A3">
              <w:rPr>
                <w:rFonts w:ascii="Times New Roman" w:hAnsi="Times New Roman" w:cs="Times New Roman"/>
                <w:lang w:val="en-US"/>
              </w:rPr>
              <w:t>R12 R13</w:t>
            </w:r>
          </w:p>
          <w:p w:rsidR="006365AA" w:rsidRPr="00F261A3" w:rsidRDefault="006365AA" w:rsidP="00571330">
            <w:pPr>
              <w:spacing w:line="240" w:lineRule="auto"/>
              <w:ind w:left="-108" w:right="-250"/>
              <w:jc w:val="center"/>
              <w:rPr>
                <w:rFonts w:ascii="Times New Roman" w:hAnsi="Times New Roman" w:cs="Times New Roman"/>
                <w:lang w:eastAsia="ru-RU"/>
              </w:rPr>
            </w:pPr>
            <w:r w:rsidRPr="00F261A3">
              <w:rPr>
                <w:rFonts w:ascii="Times New Roman" w:hAnsi="Times New Roman" w:cs="Times New Roman"/>
                <w:lang w:val="en-US"/>
              </w:rPr>
              <w:t xml:space="preserve"> R9</w:t>
            </w:r>
          </w:p>
        </w:tc>
        <w:tc>
          <w:tcPr>
            <w:tcW w:w="851" w:type="dxa"/>
            <w:tcBorders>
              <w:top w:val="single" w:sz="4" w:space="0" w:color="auto"/>
              <w:left w:val="single" w:sz="4" w:space="0" w:color="auto"/>
              <w:bottom w:val="single" w:sz="4" w:space="0" w:color="auto"/>
              <w:right w:val="single" w:sz="4" w:space="0" w:color="auto"/>
            </w:tcBorders>
            <w:vAlign w:val="center"/>
          </w:tcPr>
          <w:p w:rsidR="006365AA" w:rsidRPr="00F261A3" w:rsidRDefault="006365AA" w:rsidP="00571330">
            <w:pPr>
              <w:spacing w:line="240" w:lineRule="auto"/>
              <w:ind w:left="-108" w:right="-250"/>
              <w:jc w:val="center"/>
              <w:rPr>
                <w:rFonts w:ascii="Times New Roman" w:hAnsi="Times New Roman" w:cs="Times New Roman"/>
              </w:rPr>
            </w:pPr>
            <w:r w:rsidRPr="00F261A3">
              <w:rPr>
                <w:rFonts w:ascii="Times New Roman" w:hAnsi="Times New Roman" w:cs="Times New Roman"/>
              </w:rPr>
              <w:t>кг</w:t>
            </w:r>
          </w:p>
        </w:tc>
        <w:tc>
          <w:tcPr>
            <w:tcW w:w="1984" w:type="dxa"/>
            <w:tcBorders>
              <w:top w:val="single" w:sz="4" w:space="0" w:color="auto"/>
              <w:left w:val="single" w:sz="4" w:space="0" w:color="auto"/>
              <w:bottom w:val="single" w:sz="4" w:space="0" w:color="auto"/>
              <w:right w:val="single" w:sz="4" w:space="0" w:color="auto"/>
            </w:tcBorders>
          </w:tcPr>
          <w:p w:rsidR="006365AA" w:rsidRPr="00F261A3" w:rsidRDefault="006365AA" w:rsidP="00571330">
            <w:pPr>
              <w:pStyle w:val="a7"/>
              <w:ind w:right="-57"/>
              <w:jc w:val="center"/>
              <w:rPr>
                <w:rFonts w:ascii="Times New Roman" w:hAnsi="Times New Roman"/>
                <w:b/>
                <w:bCs/>
                <w:iCs/>
                <w:sz w:val="22"/>
                <w:szCs w:val="22"/>
              </w:rPr>
            </w:pPr>
            <w:r>
              <w:rPr>
                <w:rFonts w:ascii="Times New Roman" w:hAnsi="Times New Roman"/>
                <w:b/>
                <w:bCs/>
                <w:iCs/>
                <w:sz w:val="22"/>
                <w:szCs w:val="22"/>
              </w:rPr>
              <w:t>5</w:t>
            </w:r>
          </w:p>
        </w:tc>
      </w:tr>
    </w:tbl>
    <w:p w:rsidR="006365AA" w:rsidRDefault="006365AA" w:rsidP="006365AA">
      <w:pPr>
        <w:spacing w:after="0"/>
        <w:jc w:val="center"/>
        <w:rPr>
          <w:rFonts w:ascii="Times New Roman" w:hAnsi="Times New Roman" w:cs="Times New Roman"/>
          <w:b/>
          <w:sz w:val="24"/>
          <w:szCs w:val="24"/>
          <w:shd w:val="clear" w:color="auto" w:fill="FFFFFF"/>
        </w:rPr>
      </w:pPr>
    </w:p>
    <w:p w:rsidR="006365AA" w:rsidRPr="004F116B" w:rsidRDefault="006365AA" w:rsidP="006365AA">
      <w:pPr>
        <w:spacing w:after="0"/>
        <w:jc w:val="center"/>
        <w:rPr>
          <w:rFonts w:ascii="Times New Roman" w:hAnsi="Times New Roman" w:cs="Times New Roman"/>
          <w:b/>
          <w:sz w:val="24"/>
          <w:szCs w:val="24"/>
          <w:shd w:val="clear" w:color="auto" w:fill="FFFFFF"/>
        </w:rPr>
      </w:pPr>
    </w:p>
    <w:p w:rsidR="006365AA" w:rsidRPr="004E2C66" w:rsidRDefault="006365AA" w:rsidP="006365AA">
      <w:pPr>
        <w:spacing w:after="0" w:line="240" w:lineRule="auto"/>
        <w:jc w:val="center"/>
        <w:rPr>
          <w:i/>
          <w:sz w:val="18"/>
          <w:szCs w:val="18"/>
        </w:rPr>
      </w:pPr>
      <w:r w:rsidRPr="004E2C66">
        <w:rPr>
          <w:i/>
          <w:sz w:val="18"/>
          <w:szCs w:val="18"/>
        </w:rPr>
        <w:t>**При розрахунку вартості цінової пропозиції учасник включає всі витрати, вартість завантаження, доставки, розвантаження, монтажу, пуску, іспиту, навчання, в тому числі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запропонованого товару.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«сума, грн., з ПДВ» зазначають ціну без ПДВ, про що Учасник робить відповідну позначку</w:t>
      </w:r>
    </w:p>
    <w:p w:rsidR="006365AA" w:rsidRDefault="006365AA" w:rsidP="006365AA">
      <w:pPr>
        <w:spacing w:after="0" w:line="240" w:lineRule="auto"/>
        <w:jc w:val="center"/>
        <w:rPr>
          <w:sz w:val="18"/>
          <w:szCs w:val="18"/>
        </w:rPr>
      </w:pPr>
    </w:p>
    <w:p w:rsidR="006365AA" w:rsidRPr="007A3791" w:rsidRDefault="006365AA" w:rsidP="006365AA">
      <w:pPr>
        <w:spacing w:after="0" w:line="240" w:lineRule="auto"/>
        <w:jc w:val="center"/>
        <w:rPr>
          <w:rFonts w:ascii="Times New Roman" w:eastAsia="Times New Roman" w:hAnsi="Times New Roman"/>
          <w:sz w:val="24"/>
          <w:szCs w:val="24"/>
          <w:lang w:eastAsia="ru-RU"/>
        </w:rPr>
      </w:pPr>
      <w:r w:rsidRPr="007A3791">
        <w:rPr>
          <w:rFonts w:ascii="Times New Roman" w:eastAsia="Times New Roman" w:hAnsi="Times New Roman"/>
          <w:b/>
          <w:iCs/>
          <w:sz w:val="24"/>
          <w:szCs w:val="24"/>
          <w:lang w:eastAsia="ru-RU"/>
        </w:rPr>
        <w:t>1. Підтвердження технічних та якісних вимог (надати в складі тендерної пропозиції):</w:t>
      </w:r>
    </w:p>
    <w:p w:rsidR="006365AA" w:rsidRPr="007A3791" w:rsidRDefault="006365AA" w:rsidP="006365AA">
      <w:pPr>
        <w:numPr>
          <w:ilvl w:val="0"/>
          <w:numId w:val="1"/>
        </w:numPr>
        <w:spacing w:after="0" w:line="240" w:lineRule="auto"/>
        <w:ind w:left="284" w:hanging="426"/>
        <w:jc w:val="both"/>
        <w:rPr>
          <w:sz w:val="20"/>
          <w:szCs w:val="20"/>
          <w:lang w:eastAsia="ru-RU"/>
        </w:rPr>
      </w:pPr>
      <w:r w:rsidRPr="007A3791">
        <w:rPr>
          <w:rFonts w:ascii="Times New Roman" w:hAnsi="Times New Roman"/>
          <w:sz w:val="24"/>
          <w:szCs w:val="24"/>
        </w:rPr>
        <w:t xml:space="preserve">Сканований оригінал Ліцензії або сканований наказ про видачу ліцензії на право провадження господарської діяльності з управління небезпечними відходами, з зазначенням у ній конкретного виду та коду відходів, відповідно до Національного переліку відходів і додатків 8, 9 до Базельської конвенції про контроль за транскордонним перевезенням небезпечних відходів та їх видаленням, та конкретного виду операції, відповідно до вимог Закону України «Про управління відходами». </w:t>
      </w:r>
    </w:p>
    <w:p w:rsidR="006365AA" w:rsidRPr="007A3791" w:rsidRDefault="006365AA" w:rsidP="006365AA">
      <w:pPr>
        <w:numPr>
          <w:ilvl w:val="0"/>
          <w:numId w:val="1"/>
        </w:numPr>
        <w:spacing w:after="0" w:line="240" w:lineRule="auto"/>
        <w:ind w:left="284" w:hanging="426"/>
        <w:jc w:val="both"/>
        <w:rPr>
          <w:sz w:val="20"/>
          <w:szCs w:val="20"/>
          <w:lang w:eastAsia="ru-RU"/>
        </w:rPr>
      </w:pPr>
      <w:r w:rsidRPr="007A3791">
        <w:rPr>
          <w:rFonts w:ascii="Times New Roman" w:hAnsi="Times New Roman"/>
          <w:sz w:val="24"/>
          <w:szCs w:val="24"/>
          <w:lang w:eastAsia="ru-RU"/>
        </w:rPr>
        <w:t>Копію ліцензії на провадження господарської діяльності з перевезення небезпечних відходів автомобільним транспортом, виданої  Державною службою України з безпеки на транспорті, яка буде дійсною на весь період надання послуг відповідно до предмету закупівлі.</w:t>
      </w:r>
    </w:p>
    <w:p w:rsidR="006365AA" w:rsidRPr="007A3791" w:rsidRDefault="006365AA" w:rsidP="006365AA">
      <w:pPr>
        <w:numPr>
          <w:ilvl w:val="0"/>
          <w:numId w:val="1"/>
        </w:numPr>
        <w:spacing w:after="0" w:line="240" w:lineRule="auto"/>
        <w:ind w:left="284" w:hanging="426"/>
        <w:jc w:val="both"/>
        <w:rPr>
          <w:sz w:val="20"/>
          <w:szCs w:val="20"/>
          <w:lang w:eastAsia="ru-RU"/>
        </w:rPr>
      </w:pPr>
      <w:r w:rsidRPr="007A3791">
        <w:rPr>
          <w:rFonts w:ascii="Times New Roman" w:hAnsi="Times New Roman"/>
          <w:sz w:val="24"/>
          <w:szCs w:val="24"/>
          <w:lang w:eastAsia="ru-RU"/>
        </w:rPr>
        <w:t>Виписку з балансу Учасника, що підтверджує наявність власних: сміттєспалювальної печі (</w:t>
      </w:r>
      <w:proofErr w:type="spellStart"/>
      <w:r w:rsidRPr="007A3791">
        <w:rPr>
          <w:rFonts w:ascii="Times New Roman" w:hAnsi="Times New Roman"/>
          <w:sz w:val="24"/>
          <w:szCs w:val="24"/>
          <w:lang w:eastAsia="ru-RU"/>
        </w:rPr>
        <w:t>інсенераторного</w:t>
      </w:r>
      <w:proofErr w:type="spellEnd"/>
      <w:r w:rsidRPr="007A3791">
        <w:rPr>
          <w:rFonts w:ascii="Times New Roman" w:hAnsi="Times New Roman"/>
          <w:sz w:val="24"/>
          <w:szCs w:val="24"/>
          <w:lang w:eastAsia="ru-RU"/>
        </w:rPr>
        <w:t xml:space="preserve"> комплексу) та обладнання для переробки  люм</w:t>
      </w:r>
      <w:r>
        <w:rPr>
          <w:rFonts w:ascii="Times New Roman" w:hAnsi="Times New Roman"/>
          <w:sz w:val="24"/>
          <w:szCs w:val="24"/>
          <w:lang w:eastAsia="ru-RU"/>
        </w:rPr>
        <w:t>і</w:t>
      </w:r>
      <w:r w:rsidRPr="007A3791">
        <w:rPr>
          <w:rFonts w:ascii="Times New Roman" w:hAnsi="Times New Roman"/>
          <w:sz w:val="24"/>
          <w:szCs w:val="24"/>
          <w:lang w:eastAsia="ru-RU"/>
        </w:rPr>
        <w:t>несцентн</w:t>
      </w:r>
      <w:r>
        <w:rPr>
          <w:rFonts w:ascii="Times New Roman" w:hAnsi="Times New Roman"/>
          <w:sz w:val="24"/>
          <w:szCs w:val="24"/>
          <w:lang w:eastAsia="ru-RU"/>
        </w:rPr>
        <w:t>и</w:t>
      </w:r>
      <w:r w:rsidRPr="007A3791">
        <w:rPr>
          <w:rFonts w:ascii="Times New Roman" w:hAnsi="Times New Roman"/>
          <w:sz w:val="24"/>
          <w:szCs w:val="24"/>
          <w:lang w:eastAsia="ru-RU"/>
        </w:rPr>
        <w:t>х ламп із наданням документів на зазначене обладнання.</w:t>
      </w:r>
    </w:p>
    <w:p w:rsidR="006365AA" w:rsidRPr="007A3791" w:rsidRDefault="006365AA" w:rsidP="006365AA">
      <w:pPr>
        <w:numPr>
          <w:ilvl w:val="1"/>
          <w:numId w:val="1"/>
        </w:numPr>
        <w:tabs>
          <w:tab w:val="left" w:pos="993"/>
          <w:tab w:val="left" w:pos="1560"/>
        </w:tabs>
        <w:spacing w:after="0" w:line="240" w:lineRule="auto"/>
        <w:jc w:val="both"/>
        <w:rPr>
          <w:sz w:val="20"/>
          <w:szCs w:val="20"/>
          <w:lang w:eastAsia="ru-RU"/>
        </w:rPr>
      </w:pPr>
      <w:r w:rsidRPr="007A3791">
        <w:rPr>
          <w:rFonts w:ascii="Times New Roman" w:hAnsi="Times New Roman"/>
          <w:sz w:val="24"/>
          <w:szCs w:val="24"/>
        </w:rPr>
        <w:t>Копію технічного паспорту, копію сертифікату відповідності  та технологічний регламент на піч (</w:t>
      </w:r>
      <w:r w:rsidRPr="007A3791">
        <w:rPr>
          <w:rFonts w:ascii="Times New Roman" w:hAnsi="Times New Roman"/>
          <w:b/>
          <w:bCs/>
          <w:color w:val="222222"/>
          <w:sz w:val="24"/>
          <w:szCs w:val="24"/>
          <w:shd w:val="clear" w:color="auto" w:fill="FFFFFF"/>
        </w:rPr>
        <w:t>температура спалювання в камері горіння не менше 1100</w:t>
      </w:r>
      <w:r w:rsidRPr="007A3791">
        <w:rPr>
          <w:rFonts w:ascii="Times New Roman" w:hAnsi="Times New Roman"/>
          <w:b/>
          <w:bCs/>
          <w:color w:val="222222"/>
          <w:sz w:val="24"/>
          <w:szCs w:val="24"/>
          <w:shd w:val="clear" w:color="auto" w:fill="FFFFFF"/>
          <w:vertAlign w:val="superscript"/>
        </w:rPr>
        <w:t>0 </w:t>
      </w:r>
      <w:r w:rsidRPr="007A3791">
        <w:rPr>
          <w:rFonts w:ascii="Times New Roman" w:hAnsi="Times New Roman"/>
          <w:b/>
          <w:bCs/>
          <w:color w:val="222222"/>
          <w:sz w:val="24"/>
          <w:szCs w:val="24"/>
          <w:shd w:val="clear" w:color="auto" w:fill="FFFFFF"/>
        </w:rPr>
        <w:t>С).</w:t>
      </w:r>
    </w:p>
    <w:p w:rsidR="006365AA" w:rsidRPr="007A3791" w:rsidRDefault="006365AA" w:rsidP="006365AA">
      <w:pPr>
        <w:numPr>
          <w:ilvl w:val="0"/>
          <w:numId w:val="1"/>
        </w:numPr>
        <w:spacing w:after="0" w:line="240" w:lineRule="auto"/>
        <w:ind w:left="284" w:hanging="426"/>
        <w:jc w:val="both"/>
        <w:rPr>
          <w:rFonts w:ascii="Times New Roman" w:hAnsi="Times New Roman"/>
          <w:sz w:val="24"/>
          <w:szCs w:val="24"/>
        </w:rPr>
      </w:pPr>
      <w:r w:rsidRPr="007A3791">
        <w:rPr>
          <w:rFonts w:ascii="Times New Roman" w:hAnsi="Times New Roman"/>
          <w:sz w:val="24"/>
          <w:szCs w:val="24"/>
        </w:rPr>
        <w:t>Інформація в довільній формі про наявність власного або орендованого спеціалізованого транспортного засобу. На підтвердження надати копію технічного свідоцтва на спецтранспорт.</w:t>
      </w:r>
    </w:p>
    <w:p w:rsidR="006365AA" w:rsidRPr="007A3791" w:rsidRDefault="006365AA" w:rsidP="006365AA">
      <w:pPr>
        <w:numPr>
          <w:ilvl w:val="0"/>
          <w:numId w:val="1"/>
        </w:numPr>
        <w:spacing w:after="0" w:line="240" w:lineRule="auto"/>
        <w:ind w:left="284" w:hanging="426"/>
        <w:jc w:val="both"/>
        <w:rPr>
          <w:rFonts w:ascii="Times New Roman" w:hAnsi="Times New Roman"/>
          <w:sz w:val="24"/>
          <w:szCs w:val="24"/>
        </w:rPr>
      </w:pPr>
      <w:r w:rsidRPr="007A3791">
        <w:rPr>
          <w:rFonts w:ascii="Times New Roman" w:hAnsi="Times New Roman"/>
          <w:sz w:val="24"/>
          <w:szCs w:val="24"/>
        </w:rPr>
        <w:t>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r w:rsidRPr="007A3791">
        <w:rPr>
          <w:rFonts w:ascii="Times New Roman" w:hAnsi="Times New Roman"/>
          <w:sz w:val="24"/>
          <w:szCs w:val="24"/>
          <w:lang w:bidi="hi-IN"/>
        </w:rPr>
        <w:t>.</w:t>
      </w:r>
      <w:r w:rsidRPr="007A3791">
        <w:rPr>
          <w:rFonts w:ascii="Times New Roman" w:hAnsi="Times New Roman"/>
          <w:sz w:val="24"/>
          <w:szCs w:val="24"/>
        </w:rPr>
        <w:t xml:space="preserve"> </w:t>
      </w:r>
    </w:p>
    <w:p w:rsidR="006365AA" w:rsidRPr="007A3791" w:rsidRDefault="006365AA" w:rsidP="006365AA">
      <w:pPr>
        <w:numPr>
          <w:ilvl w:val="0"/>
          <w:numId w:val="1"/>
        </w:numPr>
        <w:spacing w:after="0" w:line="240" w:lineRule="auto"/>
        <w:ind w:left="284" w:hanging="426"/>
        <w:jc w:val="both"/>
        <w:rPr>
          <w:rFonts w:ascii="Times New Roman" w:hAnsi="Times New Roman"/>
          <w:sz w:val="24"/>
          <w:szCs w:val="24"/>
          <w:lang w:eastAsia="ru-RU"/>
        </w:rPr>
      </w:pPr>
      <w:r w:rsidRPr="007A3791">
        <w:rPr>
          <w:rFonts w:ascii="Times New Roman" w:hAnsi="Times New Roman"/>
          <w:sz w:val="24"/>
          <w:szCs w:val="24"/>
        </w:rPr>
        <w:t>Свідоцтво про допущення транспортного засобу до перевезення небезпечних вантажів</w:t>
      </w:r>
      <w:r w:rsidRPr="007A3791">
        <w:rPr>
          <w:rFonts w:ascii="Times New Roman" w:hAnsi="Times New Roman"/>
          <w:sz w:val="24"/>
          <w:szCs w:val="24"/>
          <w:shd w:val="clear" w:color="auto" w:fill="FFFFFF"/>
        </w:rPr>
        <w:t>.</w:t>
      </w:r>
    </w:p>
    <w:p w:rsidR="006365AA" w:rsidRPr="007A3791" w:rsidRDefault="006365AA" w:rsidP="006365AA">
      <w:pPr>
        <w:numPr>
          <w:ilvl w:val="0"/>
          <w:numId w:val="1"/>
        </w:numPr>
        <w:spacing w:after="0" w:line="240" w:lineRule="auto"/>
        <w:ind w:left="284" w:hanging="426"/>
        <w:jc w:val="both"/>
        <w:rPr>
          <w:rFonts w:ascii="Times New Roman" w:hAnsi="Times New Roman"/>
          <w:sz w:val="24"/>
          <w:szCs w:val="24"/>
          <w:lang w:eastAsia="ru-RU"/>
        </w:rPr>
      </w:pPr>
      <w:r w:rsidRPr="007A3791">
        <w:rPr>
          <w:rFonts w:ascii="Times New Roman" w:hAnsi="Times New Roman"/>
          <w:sz w:val="24"/>
          <w:szCs w:val="24"/>
        </w:rPr>
        <w:t>Підтвердження наявності виробних приміщень разом із підтверджуючими документами (копія договору оренди/суборенди із актом-приймання-передачі, тощо).</w:t>
      </w:r>
    </w:p>
    <w:p w:rsidR="006365AA" w:rsidRPr="005E24FB" w:rsidRDefault="006365AA" w:rsidP="006365AA">
      <w:pPr>
        <w:numPr>
          <w:ilvl w:val="0"/>
          <w:numId w:val="1"/>
        </w:numPr>
        <w:spacing w:after="0" w:line="240" w:lineRule="auto"/>
        <w:ind w:left="284" w:hanging="426"/>
        <w:jc w:val="both"/>
        <w:rPr>
          <w:rFonts w:ascii="Times New Roman" w:hAnsi="Times New Roman"/>
          <w:sz w:val="24"/>
          <w:szCs w:val="24"/>
          <w:lang w:eastAsia="ru-RU"/>
        </w:rPr>
      </w:pPr>
      <w:r w:rsidRPr="007A3791">
        <w:rPr>
          <w:rFonts w:ascii="Times New Roman" w:hAnsi="Times New Roman"/>
          <w:sz w:val="24"/>
          <w:szCs w:val="24"/>
        </w:rPr>
        <w:t>Висновок з оцінки впливу на довкілля, виданий Міністерством захисту довкілля та природних ресурсів України, який обов’язково має включати в себе відходи, згідно предмету закупівлі</w:t>
      </w:r>
      <w:r w:rsidRPr="007A3791">
        <w:rPr>
          <w:rFonts w:ascii="Times New Roman" w:hAnsi="Times New Roman"/>
          <w:sz w:val="24"/>
          <w:szCs w:val="24"/>
          <w:shd w:val="clear" w:color="auto" w:fill="FFFFFF"/>
        </w:rPr>
        <w:t>.</w:t>
      </w:r>
    </w:p>
    <w:p w:rsidR="006365AA" w:rsidRPr="005E24FB" w:rsidRDefault="006365AA" w:rsidP="006365AA">
      <w:pPr>
        <w:pStyle w:val="a5"/>
        <w:numPr>
          <w:ilvl w:val="0"/>
          <w:numId w:val="1"/>
        </w:numPr>
        <w:ind w:left="284" w:hanging="426"/>
        <w:rPr>
          <w:rFonts w:ascii="Times New Roman" w:hAnsi="Times New Roman"/>
          <w:sz w:val="24"/>
          <w:szCs w:val="24"/>
          <w:lang w:eastAsia="ru-RU"/>
        </w:rPr>
      </w:pPr>
      <w:r w:rsidRPr="005E24FB">
        <w:rPr>
          <w:rFonts w:ascii="Times New Roman" w:hAnsi="Times New Roman"/>
          <w:sz w:val="24"/>
          <w:szCs w:val="24"/>
          <w:lang w:eastAsia="ru-RU"/>
        </w:rPr>
        <w:t>Вивезення відходів здійснюється транспортом Виконавця за його рахунок (надати гарантійний лист у довільній формі).</w:t>
      </w:r>
    </w:p>
    <w:p w:rsidR="006365AA" w:rsidRPr="007A3791" w:rsidRDefault="006365AA" w:rsidP="006365AA">
      <w:pPr>
        <w:spacing w:after="0" w:line="240" w:lineRule="auto"/>
        <w:ind w:left="284"/>
        <w:jc w:val="both"/>
        <w:rPr>
          <w:rFonts w:ascii="Times New Roman" w:hAnsi="Times New Roman"/>
          <w:sz w:val="24"/>
          <w:szCs w:val="24"/>
          <w:lang w:eastAsia="ru-RU"/>
        </w:rPr>
      </w:pPr>
    </w:p>
    <w:p w:rsidR="006365AA" w:rsidRPr="007A3791" w:rsidRDefault="006365AA" w:rsidP="006365AA">
      <w:pPr>
        <w:spacing w:after="0" w:line="240" w:lineRule="auto"/>
        <w:ind w:left="284"/>
        <w:jc w:val="both"/>
        <w:rPr>
          <w:sz w:val="20"/>
          <w:szCs w:val="20"/>
        </w:rPr>
      </w:pPr>
    </w:p>
    <w:p w:rsidR="006365AA" w:rsidRPr="004621EB" w:rsidRDefault="006365AA" w:rsidP="006365AA">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lastRenderedPageBreak/>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(або на офіційному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4621EB">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w:t>
      </w:r>
      <w:r>
        <w:rPr>
          <w:rStyle w:val="h-hidden"/>
          <w:rFonts w:ascii="Times New Roman" w:hAnsi="Times New Roman" w:cs="Times New Roman"/>
          <w:color w:val="333333"/>
          <w:sz w:val="16"/>
          <w:szCs w:val="16"/>
          <w:bdr w:val="none" w:sz="0" w:space="0" w:color="auto" w:frame="1"/>
          <w:shd w:val="clear" w:color="auto" w:fill="FFFFFF"/>
        </w:rPr>
        <w:t>4</w:t>
      </w:r>
      <w:r w:rsidRPr="004621EB">
        <w:rPr>
          <w:rStyle w:val="h-hidden"/>
          <w:rFonts w:ascii="Times New Roman" w:hAnsi="Times New Roman" w:cs="Times New Roman"/>
          <w:color w:val="333333"/>
          <w:sz w:val="16"/>
          <w:szCs w:val="16"/>
          <w:bdr w:val="none" w:sz="0" w:space="0" w:color="auto" w:frame="1"/>
          <w:shd w:val="clear" w:color="auto" w:fill="FFFFFF"/>
        </w:rPr>
        <w:t xml:space="preserve">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6365AA" w:rsidRDefault="006365AA" w:rsidP="006365AA"/>
    <w:p w:rsidR="006365AA" w:rsidRDefault="006365AA" w:rsidP="006365AA"/>
    <w:p w:rsidR="00E31876" w:rsidRDefault="00E31876"/>
    <w:sectPr w:rsidR="00E31876" w:rsidSect="00CE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B3A5C"/>
    <w:multiLevelType w:val="multilevel"/>
    <w:tmpl w:val="7F401760"/>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5AA"/>
    <w:rsid w:val="006365AA"/>
    <w:rsid w:val="00CC5A61"/>
    <w:rsid w:val="00E318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6365AA"/>
  </w:style>
  <w:style w:type="paragraph" w:styleId="a3">
    <w:name w:val="No Spacing"/>
    <w:link w:val="a4"/>
    <w:uiPriority w:val="99"/>
    <w:qFormat/>
    <w:rsid w:val="006365AA"/>
    <w:pPr>
      <w:spacing w:after="0" w:line="240" w:lineRule="auto"/>
    </w:pPr>
  </w:style>
  <w:style w:type="character" w:customStyle="1" w:styleId="a4">
    <w:name w:val="Без інтервалів Знак"/>
    <w:link w:val="a3"/>
    <w:uiPriority w:val="99"/>
    <w:rsid w:val="006365AA"/>
  </w:style>
  <w:style w:type="paragraph" w:styleId="a5">
    <w:name w:val="List Paragraph"/>
    <w:aliases w:val="название табл/рис,заголовок 1.1,Bullet Number,Bullet 1,Use Case List Paragraph,lp1,List Paragraph1,lp11,List Paragraph11,Список уровня 2,Numbered List,Details,1. спис,Colorful List - Accent 11,Elenco Normale,FooterText,Chapter10"/>
    <w:basedOn w:val="a"/>
    <w:link w:val="a6"/>
    <w:uiPriority w:val="99"/>
    <w:qFormat/>
    <w:rsid w:val="006365AA"/>
    <w:pPr>
      <w:spacing w:after="160" w:line="259" w:lineRule="auto"/>
      <w:ind w:left="720"/>
      <w:contextualSpacing/>
    </w:pPr>
    <w:rPr>
      <w:rFonts w:ascii="Calibri" w:eastAsia="Calibri" w:hAnsi="Calibri" w:cs="Calibri"/>
      <w:color w:val="000000"/>
      <w:lang w:eastAsia="uk-UA"/>
    </w:rPr>
  </w:style>
  <w:style w:type="character" w:customStyle="1" w:styleId="a6">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Details Знак,1. спис Знак"/>
    <w:link w:val="a5"/>
    <w:uiPriority w:val="99"/>
    <w:rsid w:val="006365AA"/>
    <w:rPr>
      <w:rFonts w:ascii="Calibri" w:eastAsia="Calibri" w:hAnsi="Calibri" w:cs="Calibri"/>
      <w:color w:val="000000"/>
      <w:lang w:eastAsia="uk-UA"/>
    </w:rPr>
  </w:style>
  <w:style w:type="paragraph" w:styleId="a7">
    <w:name w:val="Body Text"/>
    <w:aliases w:val="Çàã1,BO,ID,body indent,andrad,EHPT,Body Text2"/>
    <w:basedOn w:val="a"/>
    <w:link w:val="a8"/>
    <w:uiPriority w:val="99"/>
    <w:unhideWhenUsed/>
    <w:rsid w:val="006365AA"/>
    <w:pPr>
      <w:spacing w:after="0" w:line="240" w:lineRule="auto"/>
      <w:jc w:val="both"/>
    </w:pPr>
    <w:rPr>
      <w:rFonts w:ascii="Arial" w:eastAsia="Times New Roman" w:hAnsi="Arial" w:cs="Times New Roman"/>
      <w:sz w:val="24"/>
      <w:szCs w:val="20"/>
      <w:lang w:eastAsia="ru-RU"/>
    </w:rPr>
  </w:style>
  <w:style w:type="character" w:customStyle="1" w:styleId="a8">
    <w:name w:val="Основний текст Знак"/>
    <w:aliases w:val="Çàã1 Знак,BO Знак,ID Знак,body indent Знак,andrad Знак,EHPT Знак,Body Text2 Знак"/>
    <w:basedOn w:val="a0"/>
    <w:link w:val="a7"/>
    <w:uiPriority w:val="99"/>
    <w:rsid w:val="006365AA"/>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5173</Words>
  <Characters>2949</Characters>
  <Application>Microsoft Office Word</Application>
  <DocSecurity>0</DocSecurity>
  <Lines>24</Lines>
  <Paragraphs>16</Paragraphs>
  <ScaleCrop>false</ScaleCrop>
  <Company>HP Inc.</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2024-04-05T07:57:00Z</dcterms:created>
  <dcterms:modified xsi:type="dcterms:W3CDTF">2024-04-05T08:08:00Z</dcterms:modified>
</cp:coreProperties>
</file>