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D2E4A" w14:textId="77777777" w:rsidR="00992547" w:rsidRDefault="009E203D" w:rsidP="00992547">
      <w:pPr>
        <w:pStyle w:val="ae"/>
        <w:spacing w:before="0" w:beforeAutospacing="0" w:after="0" w:afterAutospacing="0"/>
        <w:jc w:val="right"/>
        <w:rPr>
          <w:b/>
          <w:bCs/>
          <w:color w:val="000000"/>
          <w:sz w:val="28"/>
          <w:szCs w:val="28"/>
        </w:rPr>
      </w:pPr>
      <w:r w:rsidRPr="00992547">
        <w:rPr>
          <w:color w:val="000000"/>
          <w:sz w:val="28"/>
          <w:szCs w:val="28"/>
        </w:rPr>
        <w:t>Додаток</w:t>
      </w:r>
    </w:p>
    <w:p w14:paraId="615125C3" w14:textId="77777777" w:rsidR="0001059A" w:rsidRDefault="0001059A" w:rsidP="00C82A8C">
      <w:pPr>
        <w:pStyle w:val="ae"/>
        <w:spacing w:before="0" w:beforeAutospacing="0" w:after="0" w:afterAutospacing="0"/>
        <w:jc w:val="both"/>
        <w:rPr>
          <w:b/>
          <w:bCs/>
          <w:color w:val="000000"/>
          <w:sz w:val="28"/>
          <w:szCs w:val="28"/>
        </w:rPr>
      </w:pPr>
    </w:p>
    <w:p w14:paraId="2EEA7AB6" w14:textId="77777777" w:rsidR="00C82A8C" w:rsidRDefault="00C82A8C" w:rsidP="00C82A8C">
      <w:pPr>
        <w:pStyle w:val="ae"/>
        <w:spacing w:before="0" w:beforeAutospacing="0" w:after="0" w:afterAutospacing="0"/>
        <w:jc w:val="both"/>
        <w:rPr>
          <w:b/>
          <w:bCs/>
          <w:color w:val="000000"/>
          <w:sz w:val="28"/>
          <w:szCs w:val="28"/>
        </w:rPr>
      </w:pPr>
    </w:p>
    <w:p w14:paraId="08A43BD6" w14:textId="77777777" w:rsidR="009B2DFC" w:rsidRDefault="009B2DFC" w:rsidP="009B2DFC">
      <w:pPr>
        <w:pStyle w:val="ae"/>
        <w:spacing w:before="0" w:beforeAutospacing="0" w:after="0" w:afterAutospacing="0"/>
      </w:pPr>
      <w:r>
        <w:rPr>
          <w:b/>
          <w:bCs/>
          <w:color w:val="000000"/>
          <w:sz w:val="28"/>
          <w:szCs w:val="28"/>
          <w:shd w:val="clear" w:color="auto" w:fill="FFFFFF"/>
        </w:rPr>
        <w:t>Діагностичні обстеження раннього виявлення новоутворень безоплатні для внутрішньо переміщених осіб</w:t>
      </w:r>
    </w:p>
    <w:p w14:paraId="1F982622" w14:textId="77777777" w:rsidR="009B2DFC" w:rsidRDefault="009B2DFC" w:rsidP="009B2DFC"/>
    <w:p w14:paraId="2AFBB255" w14:textId="77777777" w:rsidR="009B2DFC" w:rsidRDefault="009B2DFC" w:rsidP="009B2DFC">
      <w:pPr>
        <w:pStyle w:val="ae"/>
        <w:spacing w:before="0" w:beforeAutospacing="0" w:after="0" w:afterAutospacing="0"/>
        <w:jc w:val="both"/>
      </w:pPr>
      <w:r>
        <w:rPr>
          <w:i/>
          <w:iCs/>
          <w:color w:val="000000"/>
          <w:sz w:val="28"/>
          <w:szCs w:val="28"/>
          <w:shd w:val="clear" w:color="auto" w:fill="FFFFFF"/>
        </w:rPr>
        <w:t>На ранніх стадіях рак виліковний. Своєчасна діагностика онкозахворювань за допомогою інструментальних досліджень дозволяє вчасно виявляти  хворобу, підвищує шанси на успішне лікування та рятує життя. Програма медичних гарантій дає можливість кожному громадянину України безоплатно проходити профілактичні обстеження на онкологічні захворювання, незалежно від місця свого проживання чи реєстрації.  </w:t>
      </w:r>
    </w:p>
    <w:p w14:paraId="697614CF" w14:textId="77777777" w:rsidR="009B2DFC" w:rsidRDefault="009B2DFC" w:rsidP="009B2DFC">
      <w:pPr>
        <w:pStyle w:val="ae"/>
        <w:spacing w:before="0" w:beforeAutospacing="0" w:after="0" w:afterAutospacing="0"/>
        <w:ind w:firstLine="567"/>
        <w:jc w:val="both"/>
        <w:rPr>
          <w:color w:val="000000"/>
          <w:sz w:val="28"/>
          <w:szCs w:val="28"/>
          <w:shd w:val="clear" w:color="auto" w:fill="FFFFFF"/>
        </w:rPr>
      </w:pPr>
    </w:p>
    <w:p w14:paraId="1B0F1A94" w14:textId="1759C20C" w:rsidR="009B2DFC" w:rsidRPr="009B2DFC" w:rsidRDefault="009B2DFC" w:rsidP="009B2DFC">
      <w:pPr>
        <w:pStyle w:val="ae"/>
        <w:spacing w:before="0" w:beforeAutospacing="0" w:after="0" w:afterAutospacing="0"/>
        <w:ind w:firstLine="567"/>
        <w:jc w:val="both"/>
        <w:rPr>
          <w:sz w:val="28"/>
          <w:szCs w:val="28"/>
        </w:rPr>
      </w:pPr>
      <w:r>
        <w:rPr>
          <w:color w:val="000000"/>
          <w:sz w:val="28"/>
          <w:szCs w:val="28"/>
          <w:shd w:val="clear" w:color="auto" w:fill="FFFFFF"/>
        </w:rPr>
        <w:t xml:space="preserve">Рання </w:t>
      </w:r>
      <w:r w:rsidRPr="009B2DFC">
        <w:rPr>
          <w:color w:val="000000"/>
          <w:sz w:val="28"/>
          <w:szCs w:val="28"/>
          <w:shd w:val="clear" w:color="auto" w:fill="FFFFFF"/>
        </w:rPr>
        <w:t>діагностика найпоширеніших онкозахворювань є пріоритетним напрямком у Програмі медичних гарантій і включає безоплатні послуги з досліджень на рак за шістьма пакетами: </w:t>
      </w:r>
    </w:p>
    <w:p w14:paraId="2D7B4F0C" w14:textId="77777777" w:rsidR="009B2DFC" w:rsidRPr="009B2DFC" w:rsidRDefault="009B2DFC" w:rsidP="009B2DFC">
      <w:pPr>
        <w:pStyle w:val="ae"/>
        <w:numPr>
          <w:ilvl w:val="0"/>
          <w:numId w:val="30"/>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“Мамографія” - обстеження молочних залоз рентгенівським методом задля виявлення патологічних змін у молочних залозах</w:t>
      </w:r>
    </w:p>
    <w:p w14:paraId="6E944A6F" w14:textId="77777777" w:rsidR="009B2DFC" w:rsidRPr="009B2DFC" w:rsidRDefault="009B2DFC" w:rsidP="009B2DFC">
      <w:pPr>
        <w:pStyle w:val="ae"/>
        <w:numPr>
          <w:ilvl w:val="0"/>
          <w:numId w:val="30"/>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 “Гістероскопія” - обстеження порожнини матки та цервікального каналу допомагає виявити внутрішньоматкові патології на ранніх етапах, коли їх ще не видно на УЗД.</w:t>
      </w:r>
    </w:p>
    <w:p w14:paraId="49F884AD" w14:textId="77777777" w:rsidR="009B2DFC" w:rsidRPr="009B2DFC" w:rsidRDefault="009B2DFC" w:rsidP="009B2DFC">
      <w:pPr>
        <w:pStyle w:val="ae"/>
        <w:numPr>
          <w:ilvl w:val="0"/>
          <w:numId w:val="30"/>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“Езофагогастродуоденоскопія” - обстеження стравоходу, порожнини шлунка та дванадцятипалої кишки. Дозволяє виявити запальні процеси, структурні аномалії верхніх відділів ШКТ. Також можливо побачити новоутворення на ранніх етапах до появи специфічних симптомів, а також за необхідності взяти матеріал для біопсії.</w:t>
      </w:r>
    </w:p>
    <w:p w14:paraId="5E06C088" w14:textId="77777777" w:rsidR="009B2DFC" w:rsidRPr="009B2DFC" w:rsidRDefault="009B2DFC" w:rsidP="009B2DFC">
      <w:pPr>
        <w:pStyle w:val="ae"/>
        <w:numPr>
          <w:ilvl w:val="0"/>
          <w:numId w:val="30"/>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“Колоноскопія” - обстеження слизової оболонки прямої,  товстої та частини кінцевого відділу тонкої кишки, виявлення запальних процесів та новоутворень за необхідністю проведення біопсії.</w:t>
      </w:r>
    </w:p>
    <w:p w14:paraId="4414F986" w14:textId="77777777" w:rsidR="009B2DFC" w:rsidRPr="009B2DFC" w:rsidRDefault="009B2DFC" w:rsidP="009B2DFC">
      <w:pPr>
        <w:pStyle w:val="ae"/>
        <w:numPr>
          <w:ilvl w:val="0"/>
          <w:numId w:val="30"/>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“Цистоскопія” - обстеження уретри та сечового міхура, з можливістю забрати матеріал для біопсії та здійснити візуалізацію новоутворень.</w:t>
      </w:r>
    </w:p>
    <w:p w14:paraId="73B55488" w14:textId="77777777" w:rsidR="009B2DFC" w:rsidRPr="009B2DFC" w:rsidRDefault="009B2DFC" w:rsidP="009B2DFC">
      <w:pPr>
        <w:pStyle w:val="ae"/>
        <w:numPr>
          <w:ilvl w:val="0"/>
          <w:numId w:val="30"/>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“Бронхоскопія” - обстеження трахеї та бронхів, яке дозволяє виявити захворювання слизових оболонок, за необхідністю взяти зразки тканини на біопсію або ж видалити інородні тіла, які потрапили в дихальні шляхи.</w:t>
      </w:r>
    </w:p>
    <w:p w14:paraId="4BF12751" w14:textId="77777777" w:rsidR="009B2DFC" w:rsidRPr="009B2DFC" w:rsidRDefault="009B2DFC" w:rsidP="009B2DFC">
      <w:pPr>
        <w:pStyle w:val="ae"/>
        <w:shd w:val="clear" w:color="auto" w:fill="FFFFFF"/>
        <w:spacing w:before="0" w:beforeAutospacing="0" w:after="0" w:afterAutospacing="0"/>
        <w:ind w:firstLine="567"/>
        <w:jc w:val="both"/>
        <w:rPr>
          <w:sz w:val="28"/>
          <w:szCs w:val="28"/>
        </w:rPr>
      </w:pPr>
      <w:r w:rsidRPr="009B2DFC">
        <w:rPr>
          <w:color w:val="000000"/>
          <w:sz w:val="28"/>
          <w:szCs w:val="28"/>
          <w:shd w:val="clear" w:color="auto" w:fill="FFFFFF"/>
        </w:rPr>
        <w:t>Внутрішньо переміщені особи можуть отримати послуги з ранньої діагностики новоутворень у будь-якому з 840 медичних  закладів, які мають укладені договори з НСЗУ на відповідні пакети послуг:</w:t>
      </w:r>
    </w:p>
    <w:p w14:paraId="7D7E2C62" w14:textId="77777777" w:rsidR="009B2DFC" w:rsidRPr="009B2DFC" w:rsidRDefault="009B2DFC" w:rsidP="009B2DFC">
      <w:pPr>
        <w:pStyle w:val="ae"/>
        <w:numPr>
          <w:ilvl w:val="0"/>
          <w:numId w:val="31"/>
        </w:numPr>
        <w:shd w:val="clear" w:color="auto" w:fill="FFFFFF"/>
        <w:spacing w:before="12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Мамографія: 270 медичних закладів</w:t>
      </w:r>
    </w:p>
    <w:p w14:paraId="6C79A342" w14:textId="77777777" w:rsidR="009B2DFC" w:rsidRPr="009B2DFC" w:rsidRDefault="009B2DFC" w:rsidP="009B2DFC">
      <w:pPr>
        <w:pStyle w:val="ae"/>
        <w:numPr>
          <w:ilvl w:val="0"/>
          <w:numId w:val="31"/>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Гістероскопія: 503 медичні заклади</w:t>
      </w:r>
    </w:p>
    <w:p w14:paraId="11791E54" w14:textId="77777777" w:rsidR="009B2DFC" w:rsidRPr="009B2DFC" w:rsidRDefault="009B2DFC" w:rsidP="009B2DFC">
      <w:pPr>
        <w:pStyle w:val="ae"/>
        <w:numPr>
          <w:ilvl w:val="0"/>
          <w:numId w:val="31"/>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Езофагогастродуоденоскопія: 717 медичних закладів</w:t>
      </w:r>
    </w:p>
    <w:p w14:paraId="6E8D4006" w14:textId="77777777" w:rsidR="009B2DFC" w:rsidRPr="009B2DFC" w:rsidRDefault="009B2DFC" w:rsidP="009B2DFC">
      <w:pPr>
        <w:pStyle w:val="ae"/>
        <w:numPr>
          <w:ilvl w:val="0"/>
          <w:numId w:val="31"/>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Колоноскопія: 600 медичних закладів</w:t>
      </w:r>
    </w:p>
    <w:p w14:paraId="3BDE1945" w14:textId="77777777" w:rsidR="009B2DFC" w:rsidRPr="009B2DFC" w:rsidRDefault="009B2DFC" w:rsidP="009B2DFC">
      <w:pPr>
        <w:pStyle w:val="ae"/>
        <w:numPr>
          <w:ilvl w:val="0"/>
          <w:numId w:val="31"/>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Цистоскопія: 407 медичних закладів</w:t>
      </w:r>
    </w:p>
    <w:p w14:paraId="527C45E8" w14:textId="77777777" w:rsidR="009B2DFC" w:rsidRPr="009B2DFC" w:rsidRDefault="009B2DFC" w:rsidP="009B2DFC">
      <w:pPr>
        <w:pStyle w:val="ae"/>
        <w:numPr>
          <w:ilvl w:val="0"/>
          <w:numId w:val="31"/>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Бронхоскопія: 294 медичні заклади</w:t>
      </w:r>
    </w:p>
    <w:p w14:paraId="0492A6F5" w14:textId="77777777" w:rsidR="009B2DFC" w:rsidRDefault="009B2DFC" w:rsidP="009B2DFC">
      <w:pPr>
        <w:pStyle w:val="ae"/>
        <w:shd w:val="clear" w:color="auto" w:fill="FFFFFF"/>
        <w:spacing w:before="120" w:beforeAutospacing="0" w:after="0" w:afterAutospacing="0"/>
        <w:ind w:firstLine="567"/>
        <w:jc w:val="both"/>
        <w:rPr>
          <w:sz w:val="28"/>
          <w:szCs w:val="28"/>
        </w:rPr>
      </w:pPr>
    </w:p>
    <w:p w14:paraId="64979C89" w14:textId="77777777" w:rsidR="009B2DFC" w:rsidRPr="009B2DFC" w:rsidRDefault="009B2DFC" w:rsidP="009B2DFC">
      <w:pPr>
        <w:pStyle w:val="ae"/>
        <w:shd w:val="clear" w:color="auto" w:fill="FFFFFF"/>
        <w:spacing w:before="120" w:beforeAutospacing="0" w:after="0" w:afterAutospacing="0"/>
        <w:ind w:firstLine="567"/>
        <w:jc w:val="both"/>
        <w:rPr>
          <w:sz w:val="28"/>
          <w:szCs w:val="28"/>
        </w:rPr>
      </w:pPr>
    </w:p>
    <w:p w14:paraId="091BB809" w14:textId="77777777" w:rsidR="009B2DFC" w:rsidRPr="009B2DFC" w:rsidRDefault="009B2DFC" w:rsidP="009B2DFC">
      <w:pPr>
        <w:pStyle w:val="ae"/>
        <w:shd w:val="clear" w:color="auto" w:fill="FFFFFF"/>
        <w:spacing w:before="120" w:beforeAutospacing="0" w:after="0" w:afterAutospacing="0"/>
        <w:ind w:firstLine="567"/>
        <w:jc w:val="both"/>
        <w:rPr>
          <w:sz w:val="28"/>
          <w:szCs w:val="28"/>
        </w:rPr>
      </w:pPr>
      <w:r w:rsidRPr="009B2DFC">
        <w:rPr>
          <w:b/>
          <w:bCs/>
          <w:color w:val="000000"/>
          <w:sz w:val="28"/>
          <w:szCs w:val="28"/>
          <w:shd w:val="clear" w:color="auto" w:fill="FFFFFF"/>
        </w:rPr>
        <w:lastRenderedPageBreak/>
        <w:t>Як отримати послугу з  раннього виявлення новоутворень </w:t>
      </w:r>
    </w:p>
    <w:p w14:paraId="076FD923" w14:textId="77777777" w:rsidR="009B2DFC" w:rsidRPr="009B2DFC" w:rsidRDefault="009B2DFC" w:rsidP="009B2DFC">
      <w:pPr>
        <w:pStyle w:val="ae"/>
        <w:numPr>
          <w:ilvl w:val="0"/>
          <w:numId w:val="32"/>
        </w:numPr>
        <w:shd w:val="clear" w:color="auto" w:fill="FFFFFF"/>
        <w:spacing w:before="12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Електронне направлення - його видає сімейний або лікуючий лікар. З електронним направленням пацієнт звертається до медичного закладу, який надає послугу за відповідним пакетом. </w:t>
      </w:r>
    </w:p>
    <w:p w14:paraId="68E9B91A" w14:textId="77777777" w:rsidR="009B2DFC" w:rsidRPr="009B2DFC" w:rsidRDefault="009B2DFC" w:rsidP="009B2DFC">
      <w:pPr>
        <w:pStyle w:val="ae"/>
        <w:numPr>
          <w:ilvl w:val="0"/>
          <w:numId w:val="32"/>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Підставою для проходження діагностичних досліджень з метою профілактики є також досягнення пацієнтами певного віку. Для мамографії та колоноскопії - це вік від 40 років, а для цистоскопії, езофагогастродуоденоскопії, гістероскопії, бронхоскопії - від  50 років.</w:t>
      </w:r>
    </w:p>
    <w:p w14:paraId="644A5BE6" w14:textId="77777777" w:rsidR="009B2DFC" w:rsidRPr="009B2DFC" w:rsidRDefault="009B2DFC" w:rsidP="009B2DFC">
      <w:pPr>
        <w:pStyle w:val="ae"/>
        <w:spacing w:before="0" w:beforeAutospacing="0" w:after="0" w:afterAutospacing="0"/>
        <w:ind w:firstLine="567"/>
        <w:jc w:val="both"/>
        <w:rPr>
          <w:sz w:val="28"/>
          <w:szCs w:val="28"/>
        </w:rPr>
      </w:pPr>
      <w:r w:rsidRPr="009B2DFC">
        <w:rPr>
          <w:b/>
          <w:bCs/>
          <w:color w:val="000000"/>
          <w:sz w:val="28"/>
          <w:szCs w:val="28"/>
          <w:shd w:val="clear" w:color="auto" w:fill="FFFFFF"/>
        </w:rPr>
        <w:t>Внутрішньо переміщеним особам, як і іншим громадянам, в межах обраних пакетів доступні безоплатні послуги:</w:t>
      </w:r>
    </w:p>
    <w:p w14:paraId="13B48171" w14:textId="77777777" w:rsidR="009B2DFC" w:rsidRPr="009B2DFC" w:rsidRDefault="009B2DFC" w:rsidP="009B2DFC">
      <w:pPr>
        <w:pStyle w:val="ae"/>
        <w:numPr>
          <w:ilvl w:val="0"/>
          <w:numId w:val="33"/>
        </w:numPr>
        <w:shd w:val="clear" w:color="auto" w:fill="FFFFFF"/>
        <w:spacing w:before="12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Консультація лікаря перед дослідженням</w:t>
      </w:r>
    </w:p>
    <w:p w14:paraId="0ED67B55" w14:textId="77777777" w:rsidR="009B2DFC" w:rsidRPr="009B2DFC" w:rsidRDefault="009B2DFC" w:rsidP="009B2DFC">
      <w:pPr>
        <w:pStyle w:val="ae"/>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Проведення дослідження </w:t>
      </w:r>
    </w:p>
    <w:p w14:paraId="554636F5" w14:textId="77777777" w:rsidR="009B2DFC" w:rsidRPr="009B2DFC" w:rsidRDefault="009B2DFC" w:rsidP="009B2DFC">
      <w:pPr>
        <w:pStyle w:val="ae"/>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Консультація анестезіолога перед анестезіологічним забезпеченням (за потреби)</w:t>
      </w:r>
    </w:p>
    <w:p w14:paraId="01B72EFF" w14:textId="77777777" w:rsidR="009B2DFC" w:rsidRPr="009B2DFC" w:rsidRDefault="009B2DFC" w:rsidP="009B2DFC">
      <w:pPr>
        <w:pStyle w:val="ae"/>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Проведення місцевої або загальної анестезії (за потреби)</w:t>
      </w:r>
    </w:p>
    <w:p w14:paraId="6B92A5E1" w14:textId="77777777" w:rsidR="009B2DFC" w:rsidRPr="009B2DFC" w:rsidRDefault="009B2DFC" w:rsidP="009B2DFC">
      <w:pPr>
        <w:pStyle w:val="ae"/>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Забір та направлення біологічного матеріалу для проведення гістологічного дослідження (за потреби)</w:t>
      </w:r>
    </w:p>
    <w:p w14:paraId="73F2A040" w14:textId="77777777" w:rsidR="009B2DFC" w:rsidRPr="009B2DFC" w:rsidRDefault="009B2DFC" w:rsidP="009B2DFC">
      <w:pPr>
        <w:pStyle w:val="ae"/>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 Опис результатів досліджень, оформлення заключення та протоколу втручання </w:t>
      </w:r>
    </w:p>
    <w:p w14:paraId="3DFA9D3A" w14:textId="77777777" w:rsidR="009B2DFC" w:rsidRPr="009B2DFC" w:rsidRDefault="009B2DFC" w:rsidP="009B2DFC">
      <w:pPr>
        <w:pStyle w:val="ae"/>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За необхідності направлення пацієнта/-ки для отримання спеціалізованої медичної допомоги або інших медичних послуг</w:t>
      </w:r>
    </w:p>
    <w:p w14:paraId="526E9C27" w14:textId="77777777" w:rsidR="009B2DFC" w:rsidRPr="009B2DFC" w:rsidRDefault="009B2DFC" w:rsidP="009B2DFC">
      <w:pPr>
        <w:pStyle w:val="ae"/>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 Надання результатів обстеження на плівці та/або запис на цифровий носій пацієнтів (за бажанням) тощо</w:t>
      </w:r>
    </w:p>
    <w:p w14:paraId="7BF233C9" w14:textId="77777777" w:rsidR="009B2DFC" w:rsidRPr="009B2DFC" w:rsidRDefault="009B2DFC" w:rsidP="009B2DFC">
      <w:pPr>
        <w:pStyle w:val="ae"/>
        <w:spacing w:before="0" w:beforeAutospacing="0" w:after="0" w:afterAutospacing="0"/>
        <w:ind w:firstLine="567"/>
        <w:jc w:val="both"/>
        <w:rPr>
          <w:sz w:val="28"/>
          <w:szCs w:val="28"/>
        </w:rPr>
      </w:pPr>
      <w:r w:rsidRPr="009B2DFC">
        <w:rPr>
          <w:color w:val="000000"/>
          <w:sz w:val="28"/>
          <w:szCs w:val="28"/>
        </w:rPr>
        <w:t xml:space="preserve">Ознайомитися з повним обсягом кожного діагностичного обстеження </w:t>
      </w:r>
      <w:r w:rsidRPr="009B2DFC">
        <w:rPr>
          <w:color w:val="000000"/>
          <w:sz w:val="28"/>
          <w:szCs w:val="28"/>
          <w:shd w:val="clear" w:color="auto" w:fill="FFFFFF"/>
        </w:rPr>
        <w:t>можна  на сайті НСЗУ в розділі Вимоги ПМГ 2024, обравши потрібний пункт, або за посиланням</w:t>
      </w:r>
      <w:r w:rsidRPr="009B2DFC">
        <w:rPr>
          <w:color w:val="080809"/>
          <w:sz w:val="28"/>
          <w:szCs w:val="28"/>
          <w:shd w:val="clear" w:color="auto" w:fill="FFFFFF"/>
        </w:rPr>
        <w:t xml:space="preserve">: </w:t>
      </w:r>
      <w:hyperlink r:id="rId5" w:history="1">
        <w:r w:rsidRPr="009B2DFC">
          <w:rPr>
            <w:rStyle w:val="af"/>
            <w:rFonts w:eastAsiaTheme="majorEastAsia"/>
            <w:color w:val="1155CC"/>
            <w:sz w:val="28"/>
            <w:szCs w:val="28"/>
            <w:shd w:val="clear" w:color="auto" w:fill="FFFFFF"/>
          </w:rPr>
          <w:t>https://cutt.ly/ieIPVARP</w:t>
        </w:r>
      </w:hyperlink>
      <w:r w:rsidRPr="009B2DFC">
        <w:rPr>
          <w:color w:val="080809"/>
          <w:sz w:val="28"/>
          <w:szCs w:val="28"/>
          <w:shd w:val="clear" w:color="auto" w:fill="FFFFFF"/>
        </w:rPr>
        <w:t xml:space="preserve"> .</w:t>
      </w:r>
    </w:p>
    <w:p w14:paraId="15B99D88" w14:textId="77777777" w:rsidR="009B2DFC" w:rsidRPr="009B2DFC" w:rsidRDefault="009B2DFC" w:rsidP="009B2DFC">
      <w:pPr>
        <w:pStyle w:val="ae"/>
        <w:spacing w:before="0" w:beforeAutospacing="0" w:after="0" w:afterAutospacing="0"/>
        <w:ind w:firstLine="567"/>
        <w:jc w:val="both"/>
        <w:rPr>
          <w:sz w:val="28"/>
          <w:szCs w:val="28"/>
        </w:rPr>
      </w:pPr>
      <w:r w:rsidRPr="009B2DFC">
        <w:rPr>
          <w:color w:val="000000"/>
          <w:sz w:val="28"/>
          <w:szCs w:val="28"/>
          <w:shd w:val="clear" w:color="auto" w:fill="FFFFFF"/>
        </w:rPr>
        <w:br/>
      </w:r>
      <w:r w:rsidRPr="009B2DFC">
        <w:rPr>
          <w:b/>
          <w:bCs/>
          <w:color w:val="000000"/>
          <w:sz w:val="28"/>
          <w:szCs w:val="28"/>
        </w:rPr>
        <w:t xml:space="preserve">Як знайти заклад, який надає послуги </w:t>
      </w:r>
      <w:r w:rsidRPr="009B2DFC">
        <w:rPr>
          <w:b/>
          <w:bCs/>
          <w:color w:val="000000"/>
          <w:sz w:val="28"/>
          <w:szCs w:val="28"/>
          <w:shd w:val="clear" w:color="auto" w:fill="FFFFFF"/>
        </w:rPr>
        <w:t>з діагностичного обстеження раннього виявлення новоутворень</w:t>
      </w:r>
    </w:p>
    <w:p w14:paraId="1DF2092F" w14:textId="77777777" w:rsidR="009B2DFC" w:rsidRPr="009B2DFC" w:rsidRDefault="009B2DFC" w:rsidP="009B2DFC">
      <w:pPr>
        <w:pStyle w:val="ae"/>
        <w:numPr>
          <w:ilvl w:val="0"/>
          <w:numId w:val="34"/>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Зателефонувати до контакт-центру НСЗУ 16-77: оператор підкаже, які медичні заклади поруч мають договір з НСЗУ на надання тієї чи іншої послуги з дослідження. </w:t>
      </w:r>
    </w:p>
    <w:p w14:paraId="69571515" w14:textId="77777777" w:rsidR="009B2DFC" w:rsidRPr="009B2DFC" w:rsidRDefault="009B2DFC" w:rsidP="009B2DFC">
      <w:pPr>
        <w:pStyle w:val="ae"/>
        <w:numPr>
          <w:ilvl w:val="0"/>
          <w:numId w:val="34"/>
        </w:numPr>
        <w:spacing w:before="0" w:beforeAutospacing="0" w:after="0" w:afterAutospacing="0"/>
        <w:ind w:left="0" w:firstLine="567"/>
        <w:jc w:val="both"/>
        <w:textAlignment w:val="baseline"/>
        <w:rPr>
          <w:color w:val="444444"/>
          <w:sz w:val="28"/>
          <w:szCs w:val="28"/>
        </w:rPr>
      </w:pPr>
      <w:r w:rsidRPr="009B2DFC">
        <w:rPr>
          <w:color w:val="000000"/>
          <w:sz w:val="28"/>
          <w:szCs w:val="28"/>
          <w:shd w:val="clear" w:color="auto" w:fill="FFFFFF"/>
        </w:rPr>
        <w:t xml:space="preserve">На сайті  НСЗУ: аналітична панель/дашборд “Електронна карта місць надання послуг за програмою медичних гарантій”. У полі фільтрів обрати потрібну область, населений пункт та  “Напрям допомоги” і потрібний “Пакет послуг”. Карта залишаться заклади з контактами. Перейти до дашборду можна за посиланням: </w:t>
      </w:r>
      <w:hyperlink r:id="rId6" w:history="1">
        <w:r w:rsidRPr="009B2DFC">
          <w:rPr>
            <w:rStyle w:val="af"/>
            <w:rFonts w:eastAsiaTheme="majorEastAsia"/>
            <w:color w:val="1155CC"/>
            <w:sz w:val="28"/>
            <w:szCs w:val="28"/>
            <w:shd w:val="clear" w:color="auto" w:fill="FFFFFF"/>
          </w:rPr>
          <w:t>https://cutt.ly/keDoF37u</w:t>
        </w:r>
      </w:hyperlink>
      <w:r w:rsidRPr="009B2DFC">
        <w:rPr>
          <w:color w:val="000000"/>
          <w:sz w:val="28"/>
          <w:szCs w:val="28"/>
          <w:shd w:val="clear" w:color="auto" w:fill="FFFFFF"/>
        </w:rPr>
        <w:t> </w:t>
      </w:r>
    </w:p>
    <w:p w14:paraId="4CD0ABA2" w14:textId="77777777" w:rsidR="009B2DFC" w:rsidRPr="009B2DFC" w:rsidRDefault="009B2DFC" w:rsidP="009B2DFC">
      <w:pPr>
        <w:ind w:firstLine="567"/>
        <w:jc w:val="both"/>
        <w:rPr>
          <w:sz w:val="28"/>
          <w:szCs w:val="28"/>
        </w:rPr>
      </w:pPr>
    </w:p>
    <w:p w14:paraId="7C5539FE" w14:textId="77777777" w:rsidR="009B2DFC" w:rsidRPr="009B2DFC" w:rsidRDefault="009B2DFC" w:rsidP="009B2DFC">
      <w:pPr>
        <w:pStyle w:val="ae"/>
        <w:spacing w:before="0" w:beforeAutospacing="0" w:after="0" w:afterAutospacing="0"/>
        <w:ind w:firstLine="567"/>
        <w:jc w:val="both"/>
        <w:rPr>
          <w:sz w:val="28"/>
          <w:szCs w:val="28"/>
        </w:rPr>
      </w:pPr>
      <w:r w:rsidRPr="009B2DFC">
        <w:rPr>
          <w:b/>
          <w:bCs/>
          <w:color w:val="000000"/>
          <w:sz w:val="28"/>
          <w:szCs w:val="28"/>
          <w:shd w:val="clear" w:color="auto" w:fill="FFFFFF"/>
        </w:rPr>
        <w:t>Куди і як поскаржитись, якщо відмовляють у наданні послуги або вимагають сплатити за неї?</w:t>
      </w:r>
    </w:p>
    <w:p w14:paraId="21F0CC4F" w14:textId="77777777" w:rsidR="009B2DFC" w:rsidRPr="009B2DFC" w:rsidRDefault="009B2DFC" w:rsidP="009B2DFC">
      <w:pPr>
        <w:pStyle w:val="ae"/>
        <w:spacing w:before="0" w:beforeAutospacing="0" w:after="0" w:afterAutospacing="0"/>
        <w:ind w:firstLine="567"/>
        <w:jc w:val="both"/>
        <w:rPr>
          <w:sz w:val="28"/>
          <w:szCs w:val="28"/>
        </w:rPr>
      </w:pPr>
      <w:r w:rsidRPr="009B2DFC">
        <w:rPr>
          <w:color w:val="000000"/>
          <w:sz w:val="28"/>
          <w:szCs w:val="28"/>
          <w:shd w:val="clear" w:color="auto" w:fill="FFFFFF"/>
        </w:rPr>
        <w:t>Якщо під час звернення до закладу внутрішньо переміщеній особі відмовляють у наданні послуги, вимагають оплатити послугу, яку покриває Програма медичних гарантій, чи зробити благодійний внесок  - це порушення прав пацієнта та умов договору НСЗУ з медичним закладом. У такому випадку потрібно подати звернення щодо порушення:</w:t>
      </w:r>
    </w:p>
    <w:p w14:paraId="2DDAB277" w14:textId="77777777" w:rsidR="009B2DFC" w:rsidRPr="009B2DFC" w:rsidRDefault="009B2DFC" w:rsidP="009B2DFC">
      <w:pPr>
        <w:pStyle w:val="ae"/>
        <w:numPr>
          <w:ilvl w:val="0"/>
          <w:numId w:val="35"/>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lastRenderedPageBreak/>
        <w:t>зателефонувати до контакт-центру НСЗУ за номером 16-77, оператор допоможе зафіксувати скаргу.</w:t>
      </w:r>
    </w:p>
    <w:p w14:paraId="39FD48D0" w14:textId="77777777" w:rsidR="009B2DFC" w:rsidRPr="009B2DFC" w:rsidRDefault="009B2DFC" w:rsidP="009B2DFC">
      <w:pPr>
        <w:pStyle w:val="ae"/>
        <w:numPr>
          <w:ilvl w:val="0"/>
          <w:numId w:val="35"/>
        </w:numPr>
        <w:spacing w:before="0" w:beforeAutospacing="0" w:after="0" w:afterAutospacing="0"/>
        <w:ind w:left="0" w:firstLine="567"/>
        <w:jc w:val="both"/>
        <w:textAlignment w:val="baseline"/>
        <w:rPr>
          <w:color w:val="444444"/>
          <w:sz w:val="28"/>
          <w:szCs w:val="28"/>
        </w:rPr>
      </w:pPr>
      <w:r w:rsidRPr="009B2DFC">
        <w:rPr>
          <w:color w:val="000000"/>
          <w:sz w:val="28"/>
          <w:szCs w:val="28"/>
          <w:shd w:val="clear" w:color="auto" w:fill="FFFFFF"/>
        </w:rPr>
        <w:t>подати скаргу через електронну форму на сайті НСЗУ: обрати в меню зверху розділ “Громадянам”, далі  - “Зворотній зв’язок. Тут можете залишати свої запитання, зауваження, пропозиції, заяви та скарги”. Або перейти за посиланням</w:t>
      </w:r>
      <w:r w:rsidRPr="009B2DFC">
        <w:rPr>
          <w:color w:val="444444"/>
          <w:sz w:val="28"/>
          <w:szCs w:val="28"/>
          <w:shd w:val="clear" w:color="auto" w:fill="FFFFFF"/>
        </w:rPr>
        <w:t xml:space="preserve">: </w:t>
      </w:r>
      <w:hyperlink r:id="rId7" w:history="1">
        <w:r w:rsidRPr="009B2DFC">
          <w:rPr>
            <w:rStyle w:val="af"/>
            <w:rFonts w:eastAsiaTheme="majorEastAsia"/>
            <w:color w:val="1155CC"/>
            <w:sz w:val="28"/>
            <w:szCs w:val="28"/>
            <w:shd w:val="clear" w:color="auto" w:fill="FFFFFF"/>
          </w:rPr>
          <w:t>https://cutt.ly/5eb9XKbN</w:t>
        </w:r>
      </w:hyperlink>
    </w:p>
    <w:p w14:paraId="44DF1546" w14:textId="77777777" w:rsidR="009B2DFC" w:rsidRPr="009B2DFC" w:rsidRDefault="009B2DFC" w:rsidP="009B2DFC">
      <w:pPr>
        <w:jc w:val="both"/>
        <w:rPr>
          <w:sz w:val="28"/>
          <w:szCs w:val="28"/>
        </w:rPr>
      </w:pPr>
    </w:p>
    <w:p w14:paraId="3D4003BC" w14:textId="77777777" w:rsidR="009B2DFC" w:rsidRPr="009B2DFC" w:rsidRDefault="009B2DFC" w:rsidP="009B2DFC">
      <w:pPr>
        <w:pStyle w:val="ae"/>
        <w:spacing w:before="0" w:beforeAutospacing="0" w:after="0" w:afterAutospacing="0"/>
        <w:jc w:val="both"/>
        <w:rPr>
          <w:sz w:val="28"/>
          <w:szCs w:val="28"/>
        </w:rPr>
      </w:pPr>
      <w:r w:rsidRPr="009B2DFC">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8" w:history="1">
        <w:r w:rsidRPr="009B2DFC">
          <w:rPr>
            <w:rStyle w:val="af"/>
            <w:rFonts w:eastAsiaTheme="majorEastAsia"/>
            <w:i/>
            <w:iCs/>
            <w:color w:val="1155CC"/>
            <w:sz w:val="28"/>
            <w:szCs w:val="28"/>
          </w:rPr>
          <w:t>посиланням</w:t>
        </w:r>
      </w:hyperlink>
      <w:r w:rsidRPr="009B2DFC">
        <w:rPr>
          <w:i/>
          <w:iCs/>
          <w:color w:val="000000"/>
          <w:sz w:val="28"/>
          <w:szCs w:val="28"/>
        </w:rPr>
        <w:t>.</w:t>
      </w:r>
    </w:p>
    <w:p w14:paraId="0A6FEF02" w14:textId="55DD7B2D" w:rsidR="009E203D" w:rsidRDefault="009E203D" w:rsidP="009E203D">
      <w:pPr>
        <w:pStyle w:val="ae"/>
        <w:spacing w:before="0" w:beforeAutospacing="0" w:after="0" w:afterAutospacing="0"/>
        <w:jc w:val="right"/>
        <w:rPr>
          <w:b/>
          <w:bCs/>
          <w:color w:val="000000"/>
          <w:sz w:val="28"/>
          <w:szCs w:val="28"/>
        </w:rPr>
      </w:pPr>
    </w:p>
    <w:sectPr w:rsidR="009E2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086"/>
    <w:multiLevelType w:val="multilevel"/>
    <w:tmpl w:val="BF9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6292A"/>
    <w:multiLevelType w:val="multilevel"/>
    <w:tmpl w:val="B798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627E8"/>
    <w:multiLevelType w:val="multilevel"/>
    <w:tmpl w:val="32EC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D3094"/>
    <w:multiLevelType w:val="multilevel"/>
    <w:tmpl w:val="9EF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1539D"/>
    <w:multiLevelType w:val="multilevel"/>
    <w:tmpl w:val="F7D4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424F7"/>
    <w:multiLevelType w:val="multilevel"/>
    <w:tmpl w:val="A3B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549B5"/>
    <w:multiLevelType w:val="multilevel"/>
    <w:tmpl w:val="E74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8029D"/>
    <w:multiLevelType w:val="multilevel"/>
    <w:tmpl w:val="067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2"/>
    <w:multiLevelType w:val="multilevel"/>
    <w:tmpl w:val="620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84904"/>
    <w:multiLevelType w:val="multilevel"/>
    <w:tmpl w:val="C56A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14B2D"/>
    <w:multiLevelType w:val="multilevel"/>
    <w:tmpl w:val="69A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63D8D"/>
    <w:multiLevelType w:val="multilevel"/>
    <w:tmpl w:val="1FC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072DE"/>
    <w:multiLevelType w:val="multilevel"/>
    <w:tmpl w:val="17D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41B4E"/>
    <w:multiLevelType w:val="multilevel"/>
    <w:tmpl w:val="523E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A31FA"/>
    <w:multiLevelType w:val="multilevel"/>
    <w:tmpl w:val="2146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7766AA"/>
    <w:multiLevelType w:val="multilevel"/>
    <w:tmpl w:val="8496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50BB8"/>
    <w:multiLevelType w:val="multilevel"/>
    <w:tmpl w:val="675E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207D91"/>
    <w:multiLevelType w:val="multilevel"/>
    <w:tmpl w:val="147E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D3A80"/>
    <w:multiLevelType w:val="multilevel"/>
    <w:tmpl w:val="022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F7A74"/>
    <w:multiLevelType w:val="multilevel"/>
    <w:tmpl w:val="2B5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47CDE"/>
    <w:multiLevelType w:val="multilevel"/>
    <w:tmpl w:val="3306E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8B5BC4"/>
    <w:multiLevelType w:val="multilevel"/>
    <w:tmpl w:val="635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23294"/>
    <w:multiLevelType w:val="multilevel"/>
    <w:tmpl w:val="16AA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846E1"/>
    <w:multiLevelType w:val="multilevel"/>
    <w:tmpl w:val="EE1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348F2"/>
    <w:multiLevelType w:val="multilevel"/>
    <w:tmpl w:val="6624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873E1"/>
    <w:multiLevelType w:val="multilevel"/>
    <w:tmpl w:val="793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40B31"/>
    <w:multiLevelType w:val="multilevel"/>
    <w:tmpl w:val="FC92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A31C0"/>
    <w:multiLevelType w:val="multilevel"/>
    <w:tmpl w:val="AB3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66537">
    <w:abstractNumId w:val="32"/>
  </w:num>
  <w:num w:numId="2" w16cid:durableId="179128939">
    <w:abstractNumId w:val="28"/>
  </w:num>
  <w:num w:numId="3" w16cid:durableId="1269001279">
    <w:abstractNumId w:val="12"/>
  </w:num>
  <w:num w:numId="4" w16cid:durableId="582763021">
    <w:abstractNumId w:val="24"/>
  </w:num>
  <w:num w:numId="5" w16cid:durableId="519971709">
    <w:abstractNumId w:val="4"/>
  </w:num>
  <w:num w:numId="6" w16cid:durableId="2013604377">
    <w:abstractNumId w:val="5"/>
  </w:num>
  <w:num w:numId="7" w16cid:durableId="1222709888">
    <w:abstractNumId w:val="16"/>
  </w:num>
  <w:num w:numId="8" w16cid:durableId="1338456814">
    <w:abstractNumId w:val="8"/>
  </w:num>
  <w:num w:numId="9" w16cid:durableId="610628001">
    <w:abstractNumId w:val="31"/>
  </w:num>
  <w:num w:numId="10" w16cid:durableId="1032461315">
    <w:abstractNumId w:val="34"/>
  </w:num>
  <w:num w:numId="11" w16cid:durableId="1019889002">
    <w:abstractNumId w:val="25"/>
    <w:lvlOverride w:ilvl="0">
      <w:lvl w:ilvl="0">
        <w:numFmt w:val="decimal"/>
        <w:lvlText w:val="%1."/>
        <w:lvlJc w:val="left"/>
      </w:lvl>
    </w:lvlOverride>
  </w:num>
  <w:num w:numId="12" w16cid:durableId="76291938">
    <w:abstractNumId w:val="11"/>
    <w:lvlOverride w:ilvl="0">
      <w:lvl w:ilvl="0">
        <w:numFmt w:val="decimal"/>
        <w:lvlText w:val="%1."/>
        <w:lvlJc w:val="left"/>
      </w:lvl>
    </w:lvlOverride>
  </w:num>
  <w:num w:numId="13" w16cid:durableId="1961033931">
    <w:abstractNumId w:val="3"/>
  </w:num>
  <w:num w:numId="14" w16cid:durableId="419982814">
    <w:abstractNumId w:val="10"/>
  </w:num>
  <w:num w:numId="15" w16cid:durableId="2037190254">
    <w:abstractNumId w:val="13"/>
  </w:num>
  <w:num w:numId="16" w16cid:durableId="1616331455">
    <w:abstractNumId w:val="20"/>
  </w:num>
  <w:num w:numId="17" w16cid:durableId="451093523">
    <w:abstractNumId w:val="23"/>
  </w:num>
  <w:num w:numId="18" w16cid:durableId="1076320409">
    <w:abstractNumId w:val="14"/>
  </w:num>
  <w:num w:numId="19" w16cid:durableId="305428362">
    <w:abstractNumId w:val="7"/>
  </w:num>
  <w:num w:numId="20" w16cid:durableId="1002195642">
    <w:abstractNumId w:val="18"/>
  </w:num>
  <w:num w:numId="21" w16cid:durableId="1432315062">
    <w:abstractNumId w:val="0"/>
  </w:num>
  <w:num w:numId="22" w16cid:durableId="550922253">
    <w:abstractNumId w:val="33"/>
  </w:num>
  <w:num w:numId="23" w16cid:durableId="1588687129">
    <w:abstractNumId w:val="6"/>
  </w:num>
  <w:num w:numId="24" w16cid:durableId="2018338587">
    <w:abstractNumId w:val="9"/>
  </w:num>
  <w:num w:numId="25" w16cid:durableId="115755572">
    <w:abstractNumId w:val="22"/>
  </w:num>
  <w:num w:numId="26" w16cid:durableId="1408187920">
    <w:abstractNumId w:val="29"/>
  </w:num>
  <w:num w:numId="27" w16cid:durableId="1280144299">
    <w:abstractNumId w:val="21"/>
  </w:num>
  <w:num w:numId="28" w16cid:durableId="811554659">
    <w:abstractNumId w:val="17"/>
  </w:num>
  <w:num w:numId="29" w16cid:durableId="342821896">
    <w:abstractNumId w:val="15"/>
  </w:num>
  <w:num w:numId="30" w16cid:durableId="485364923">
    <w:abstractNumId w:val="30"/>
  </w:num>
  <w:num w:numId="31" w16cid:durableId="2071807405">
    <w:abstractNumId w:val="1"/>
  </w:num>
  <w:num w:numId="32" w16cid:durableId="1544755907">
    <w:abstractNumId w:val="19"/>
  </w:num>
  <w:num w:numId="33" w16cid:durableId="2000040538">
    <w:abstractNumId w:val="26"/>
  </w:num>
  <w:num w:numId="34" w16cid:durableId="1997218941">
    <w:abstractNumId w:val="27"/>
  </w:num>
  <w:num w:numId="35" w16cid:durableId="882248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01059A"/>
    <w:rsid w:val="0007217B"/>
    <w:rsid w:val="005B1DCD"/>
    <w:rsid w:val="00992547"/>
    <w:rsid w:val="009B2DFC"/>
    <w:rsid w:val="009E203D"/>
    <w:rsid w:val="00B2608E"/>
    <w:rsid w:val="00C82A8C"/>
    <w:rsid w:val="00E8069B"/>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FC1"/>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948">
      <w:bodyDiv w:val="1"/>
      <w:marLeft w:val="0"/>
      <w:marRight w:val="0"/>
      <w:marTop w:val="0"/>
      <w:marBottom w:val="0"/>
      <w:divBdr>
        <w:top w:val="none" w:sz="0" w:space="0" w:color="auto"/>
        <w:left w:val="none" w:sz="0" w:space="0" w:color="auto"/>
        <w:bottom w:val="none" w:sz="0" w:space="0" w:color="auto"/>
        <w:right w:val="none" w:sz="0" w:space="0" w:color="auto"/>
      </w:divBdr>
    </w:div>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206720983">
      <w:bodyDiv w:val="1"/>
      <w:marLeft w:val="0"/>
      <w:marRight w:val="0"/>
      <w:marTop w:val="0"/>
      <w:marBottom w:val="0"/>
      <w:divBdr>
        <w:top w:val="none" w:sz="0" w:space="0" w:color="auto"/>
        <w:left w:val="none" w:sz="0" w:space="0" w:color="auto"/>
        <w:bottom w:val="none" w:sz="0" w:space="0" w:color="auto"/>
        <w:right w:val="none" w:sz="0" w:space="0" w:color="auto"/>
      </w:divBdr>
    </w:div>
    <w:div w:id="474571889">
      <w:bodyDiv w:val="1"/>
      <w:marLeft w:val="0"/>
      <w:marRight w:val="0"/>
      <w:marTop w:val="0"/>
      <w:marBottom w:val="0"/>
      <w:divBdr>
        <w:top w:val="none" w:sz="0" w:space="0" w:color="auto"/>
        <w:left w:val="none" w:sz="0" w:space="0" w:color="auto"/>
        <w:bottom w:val="none" w:sz="0" w:space="0" w:color="auto"/>
        <w:right w:val="none" w:sz="0" w:space="0" w:color="auto"/>
      </w:divBdr>
    </w:div>
    <w:div w:id="805591179">
      <w:bodyDiv w:val="1"/>
      <w:marLeft w:val="0"/>
      <w:marRight w:val="0"/>
      <w:marTop w:val="0"/>
      <w:marBottom w:val="0"/>
      <w:divBdr>
        <w:top w:val="none" w:sz="0" w:space="0" w:color="auto"/>
        <w:left w:val="none" w:sz="0" w:space="0" w:color="auto"/>
        <w:bottom w:val="none" w:sz="0" w:space="0" w:color="auto"/>
        <w:right w:val="none" w:sz="0" w:space="0" w:color="auto"/>
      </w:divBdr>
    </w:div>
    <w:div w:id="1150485138">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599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Nw5buw0b" TargetMode="External"/><Relationship Id="rId3" Type="http://schemas.openxmlformats.org/officeDocument/2006/relationships/settings" Target="settings.xml"/><Relationship Id="rId7" Type="http://schemas.openxmlformats.org/officeDocument/2006/relationships/hyperlink" Target="https://cutt.ly/5eb9XK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keDoF37u" TargetMode="External"/><Relationship Id="rId5" Type="http://schemas.openxmlformats.org/officeDocument/2006/relationships/hyperlink" Target="https://cutt.ly/ieIPVAR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3500</Words>
  <Characters>1995</Characters>
  <Application>Microsoft Office Word</Application>
  <DocSecurity>0</DocSecurity>
  <Lines>16</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Марина Осипенко</cp:lastModifiedBy>
  <cp:revision>9</cp:revision>
  <dcterms:created xsi:type="dcterms:W3CDTF">2024-08-20T11:46:00Z</dcterms:created>
  <dcterms:modified xsi:type="dcterms:W3CDTF">2024-11-22T10:58:00Z</dcterms:modified>
</cp:coreProperties>
</file>